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png" ContentType="image/png"/>
  <Override PartName="/word/media/rId31.png" ContentType="image/png"/>
  <Override PartName="/word/media/rId34.png" ContentType="image/png"/>
  <Override PartName="/word/media/rId3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Unifying</w:t>
      </w:r>
      <w:r>
        <w:t xml:space="preserve"> </w:t>
      </w:r>
      <w:r>
        <w:t xml:space="preserve">individual</w:t>
      </w:r>
      <w:r>
        <w:t xml:space="preserve"> </w:t>
      </w:r>
      <w:r>
        <w:t xml:space="preserve">and</w:t>
      </w:r>
      <w:r>
        <w:t xml:space="preserve"> </w:t>
      </w:r>
      <w:r>
        <w:t xml:space="preserve">metapopulation</w:t>
      </w:r>
      <w:r>
        <w:t xml:space="preserve"> </w:t>
      </w:r>
      <w:r>
        <w:t xml:space="preserve">scales</w:t>
      </w:r>
      <w:r>
        <w:t xml:space="preserve"> </w:t>
      </w:r>
      <w:r>
        <w:t xml:space="preserve">with</w:t>
      </w:r>
      <w:r>
        <w:t xml:space="preserve"> </w:t>
      </w:r>
      <w:r>
        <w:t xml:space="preserve">stochastic</w:t>
      </w:r>
      <w:r>
        <w:t xml:space="preserve"> </w:t>
      </w:r>
      <w:r>
        <w:t xml:space="preserve">population</w:t>
      </w:r>
      <w:r>
        <w:t xml:space="preserve"> </w:t>
      </w:r>
      <w:r>
        <w:t xml:space="preserve">models:</w:t>
      </w:r>
      <w:r>
        <w:t xml:space="preserve"> </w:t>
      </w:r>
      <w:r>
        <w:t xml:space="preserve">the</w:t>
      </w:r>
      <w:r>
        <w:t xml:space="preserve"> </w:t>
      </w:r>
      <w:r>
        <w:t xml:space="preserve">effect</w:t>
      </w:r>
      <w:r>
        <w:t xml:space="preserve"> </w:t>
      </w:r>
      <w:r>
        <w:t xml:space="preserve">of</w:t>
      </w:r>
      <w:r>
        <w:t xml:space="preserve"> </w:t>
      </w:r>
      <w:r>
        <w:t xml:space="preserve">climate</w:t>
      </w:r>
      <w:r>
        <w:t xml:space="preserve"> </w:t>
      </w:r>
      <w:r>
        <w:t xml:space="preserve">and</w:t>
      </w:r>
      <w:r>
        <w:t xml:space="preserve"> </w:t>
      </w:r>
      <w:r>
        <w:t xml:space="preserve">competition</w:t>
      </w:r>
      <w:r>
        <w:t xml:space="preserve"> </w:t>
      </w:r>
      <w:r>
        <w:t xml:space="preserve">on</w:t>
      </w:r>
      <w:r>
        <w:t xml:space="preserve"> </w:t>
      </w:r>
      <w:r>
        <w:t xml:space="preserve">tree</w:t>
      </w:r>
      <w:r>
        <w:t xml:space="preserve"> </w:t>
      </w:r>
      <w:r>
        <w:t xml:space="preserve">range</w:t>
      </w:r>
      <w:r>
        <w:t xml:space="preserve"> </w:t>
      </w:r>
      <w:r>
        <w:t xml:space="preserve">limits</w:t>
      </w:r>
    </w:p>
    <w:p>
      <w:pPr>
        <w:pStyle w:val="Author"/>
      </w:pPr>
      <w:r>
        <w:t xml:space="preserve">Willian Vieira</w:t>
      </w:r>
      <w:r>
        <w:rPr>
          <w:vertAlign w:val="superscript"/>
        </w:rPr>
        <w:t xml:space="preserve">1,*</w:t>
      </w:r>
      <w:r>
        <w:t xml:space="preserve">,</w:t>
      </w:r>
      <w:r>
        <w:t xml:space="preserve"> </w:t>
      </w:r>
      <w:r>
        <w:t xml:space="preserve">Dominique Gravel</w:t>
      </w:r>
      <w:r>
        <w:rPr>
          <w:vertAlign w:val="superscript"/>
        </w:rPr>
        <w:t xml:space="preserve">1</w:t>
      </w:r>
      <w:r>
        <w:br/>
      </w:r>
      <w:r>
        <w:br/>
      </w:r>
      <w:r>
        <w:rPr>
          <w:vertAlign w:val="superscript"/>
        </w:rPr>
        <w:t xml:space="preserve">1</w:t>
      </w:r>
      <w:r>
        <w:t xml:space="preserve"> </w:t>
      </w:r>
      <w:r>
        <w:rPr>
          <w:i/>
        </w:rPr>
        <w:t xml:space="preserve">Département</w:t>
      </w:r>
      <w:r>
        <w:rPr>
          <w:i/>
        </w:rPr>
        <w:t xml:space="preserve"> </w:t>
      </w:r>
      <w:r>
        <w:rPr>
          <w:i/>
        </w:rPr>
        <w:t xml:space="preserve">de</w:t>
      </w:r>
      <w:r>
        <w:rPr>
          <w:i/>
        </w:rPr>
        <w:t xml:space="preserve"> </w:t>
      </w:r>
      <w:r>
        <w:rPr>
          <w:i/>
        </w:rPr>
        <w:t xml:space="preserve">biologie,</w:t>
      </w:r>
      <w:r>
        <w:rPr>
          <w:i/>
        </w:rPr>
        <w:t xml:space="preserve"> </w:t>
      </w:r>
      <w:r>
        <w:rPr>
          <w:i/>
        </w:rPr>
        <w:t xml:space="preserve">Université</w:t>
      </w:r>
      <w:r>
        <w:rPr>
          <w:i/>
        </w:rPr>
        <w:t xml:space="preserve"> </w:t>
      </w:r>
      <w:r>
        <w:rPr>
          <w:i/>
        </w:rPr>
        <w:t xml:space="preserve">de</w:t>
      </w:r>
      <w:r>
        <w:rPr>
          <w:i/>
        </w:rPr>
        <w:t xml:space="preserve"> </w:t>
      </w:r>
      <w:r>
        <w:rPr>
          <w:i/>
        </w:rPr>
        <w:t xml:space="preserve">Sherbrooke,</w:t>
      </w:r>
      <w:r>
        <w:rPr>
          <w:i/>
        </w:rPr>
        <w:t xml:space="preserve"> </w:t>
      </w:r>
      <w:r>
        <w:rPr>
          <w:i/>
        </w:rPr>
        <w:t xml:space="preserve">Sherbrooke,</w:t>
      </w:r>
      <w:r>
        <w:rPr>
          <w:i/>
        </w:rPr>
        <w:t xml:space="preserve"> </w:t>
      </w:r>
      <w:r>
        <w:rPr>
          <w:i/>
        </w:rPr>
        <w:t xml:space="preserve">Québec,</w:t>
      </w:r>
      <w:r>
        <w:rPr>
          <w:i/>
        </w:rPr>
        <w:t xml:space="preserve"> </w:t>
      </w:r>
      <w:r>
        <w:rPr>
          <w:i/>
        </w:rPr>
        <w:t xml:space="preserve">Canada</w:t>
      </w:r>
      <w:r>
        <w:br/>
      </w:r>
      <w:r>
        <w:rPr>
          <w:vertAlign w:val="superscript"/>
        </w:rPr>
        <w:t xml:space="preserve">*</w:t>
      </w:r>
      <w:r>
        <w:t xml:space="preserve"> </w:t>
      </w:r>
      <w:r>
        <w:rPr>
          <w:i/>
        </w:rPr>
        <w:t xml:space="preserve">corresponding</w:t>
      </w:r>
      <w:r>
        <w:rPr>
          <w:i/>
        </w:rPr>
        <w:t xml:space="preserve"> </w:t>
      </w:r>
      <w:r>
        <w:rPr>
          <w:i/>
        </w:rPr>
        <w:t xml:space="preserve">author:</w:t>
      </w:r>
      <w:r>
        <w:rPr>
          <w:i/>
        </w:rPr>
        <w:t xml:space="preserve"> </w:t>
      </w:r>
      <w:r>
        <w:rPr>
          <w:i/>
        </w:rPr>
        <w:t xml:space="preserve">willian.vieira@usherbrooke.ca</w:t>
      </w:r>
    </w:p>
    <w:p>
      <w:pPr>
        <w:pStyle w:val="Abstract"/>
      </w:pPr>
      <w:r>
        <w:t xml:space="preserve">Despite</w:t>
      </w:r>
      <w:r>
        <w:t xml:space="preserve"> </w:t>
      </w:r>
      <w:r>
        <w:t xml:space="preserve">recent</w:t>
      </w:r>
      <w:r>
        <w:t xml:space="preserve"> </w:t>
      </w:r>
      <w:r>
        <w:t xml:space="preserve">calls</w:t>
      </w:r>
      <w:r>
        <w:t xml:space="preserve"> </w:t>
      </w:r>
      <w:r>
        <w:t xml:space="preserve">to</w:t>
      </w:r>
      <w:r>
        <w:t xml:space="preserve"> </w:t>
      </w:r>
      <w:r>
        <w:t xml:space="preserve">use</w:t>
      </w:r>
      <w:r>
        <w:t xml:space="preserve"> </w:t>
      </w:r>
      <w:r>
        <w:t xml:space="preserve">demographic</w:t>
      </w:r>
      <w:r>
        <w:t xml:space="preserve"> </w:t>
      </w:r>
      <w:r>
        <w:t xml:space="preserve">range</w:t>
      </w:r>
      <w:r>
        <w:t xml:space="preserve"> </w:t>
      </w:r>
      <w:r>
        <w:t xml:space="preserve">models</w:t>
      </w:r>
      <w:r>
        <w:t xml:space="preserve"> </w:t>
      </w:r>
      <w:r>
        <w:t xml:space="preserve">to</w:t>
      </w:r>
      <w:r>
        <w:t xml:space="preserve"> </w:t>
      </w:r>
      <w:r>
        <w:t xml:space="preserve">scale</w:t>
      </w:r>
      <w:r>
        <w:t xml:space="preserve"> </w:t>
      </w:r>
      <w:r>
        <w:t xml:space="preserve">the</w:t>
      </w:r>
      <w:r>
        <w:t xml:space="preserve"> </w:t>
      </w:r>
      <w:r>
        <w:t xml:space="preserve">effect</w:t>
      </w:r>
      <w:r>
        <w:t xml:space="preserve"> </w:t>
      </w:r>
      <w:r>
        <w:t xml:space="preserve">of</w:t>
      </w:r>
      <w:r>
        <w:t xml:space="preserve"> </w:t>
      </w:r>
      <w:r>
        <w:t xml:space="preserve">individual</w:t>
      </w:r>
      <w:r>
        <w:t xml:space="preserve"> </w:t>
      </w:r>
      <w:r>
        <w:t xml:space="preserve">dynamics</w:t>
      </w:r>
      <w:r>
        <w:t xml:space="preserve"> </w:t>
      </w:r>
      <w:r>
        <w:t xml:space="preserve">in</w:t>
      </w:r>
      <w:r>
        <w:t xml:space="preserve"> </w:t>
      </w:r>
      <w:r>
        <w:t xml:space="preserve">setting</w:t>
      </w:r>
      <w:r>
        <w:t xml:space="preserve"> </w:t>
      </w:r>
      <w:r>
        <w:t xml:space="preserve">range</w:t>
      </w:r>
      <w:r>
        <w:t xml:space="preserve"> </w:t>
      </w:r>
      <w:r>
        <w:t xml:space="preserve">limits,</w:t>
      </w:r>
      <w:r>
        <w:t xml:space="preserve"> </w:t>
      </w:r>
      <w:r>
        <w:t xml:space="preserve">there</w:t>
      </w:r>
      <w:r>
        <w:t xml:space="preserve"> </w:t>
      </w:r>
      <w:r>
        <w:t xml:space="preserve">is</w:t>
      </w:r>
      <w:r>
        <w:t xml:space="preserve"> </w:t>
      </w:r>
      <w:r>
        <w:t xml:space="preserve">a</w:t>
      </w:r>
      <w:r>
        <w:t xml:space="preserve"> </w:t>
      </w:r>
      <w:r>
        <w:t xml:space="preserve">growing</w:t>
      </w:r>
      <w:r>
        <w:t xml:space="preserve"> </w:t>
      </w:r>
      <w:r>
        <w:t xml:space="preserve">body</w:t>
      </w:r>
      <w:r>
        <w:t xml:space="preserve"> </w:t>
      </w:r>
      <w:r>
        <w:t xml:space="preserve">of</w:t>
      </w:r>
      <w:r>
        <w:t xml:space="preserve"> </w:t>
      </w:r>
      <w:r>
        <w:t xml:space="preserve">evidence</w:t>
      </w:r>
      <w:r>
        <w:t xml:space="preserve"> </w:t>
      </w:r>
      <w:r>
        <w:t xml:space="preserve">showing</w:t>
      </w:r>
      <w:r>
        <w:t xml:space="preserve"> </w:t>
      </w:r>
      <w:r>
        <w:t xml:space="preserve">that</w:t>
      </w:r>
      <w:r>
        <w:t xml:space="preserve"> </w:t>
      </w:r>
      <w:r>
        <w:t xml:space="preserve">tree</w:t>
      </w:r>
      <w:r>
        <w:t xml:space="preserve"> </w:t>
      </w:r>
      <w:r>
        <w:t xml:space="preserve">species’</w:t>
      </w:r>
      <w:r>
        <w:t xml:space="preserve"> </w:t>
      </w:r>
      <w:r>
        <w:t xml:space="preserve">performance</w:t>
      </w:r>
      <w:r>
        <w:t xml:space="preserve"> </w:t>
      </w:r>
      <w:r>
        <w:t xml:space="preserve">is</w:t>
      </w:r>
      <w:r>
        <w:t xml:space="preserve"> </w:t>
      </w:r>
      <w:r>
        <w:t xml:space="preserve">not</w:t>
      </w:r>
      <w:r>
        <w:t xml:space="preserve"> </w:t>
      </w:r>
      <w:r>
        <w:t xml:space="preserve">correlated</w:t>
      </w:r>
      <w:r>
        <w:t xml:space="preserve"> </w:t>
      </w:r>
      <w:r>
        <w:t xml:space="preserve">with</w:t>
      </w:r>
      <w:r>
        <w:t xml:space="preserve"> </w:t>
      </w:r>
      <w:r>
        <w:t xml:space="preserve">their</w:t>
      </w:r>
      <w:r>
        <w:t xml:space="preserve"> </w:t>
      </w:r>
      <w:r>
        <w:t xml:space="preserve">distribution.</w:t>
      </w:r>
      <w:r>
        <w:t xml:space="preserve"> </w:t>
      </w:r>
      <w:r>
        <w:t xml:space="preserve">In</w:t>
      </w:r>
      <w:r>
        <w:t xml:space="preserve"> </w:t>
      </w:r>
      <w:r>
        <w:t xml:space="preserve">this</w:t>
      </w:r>
      <w:r>
        <w:t xml:space="preserve"> </w:t>
      </w:r>
      <w:r>
        <w:t xml:space="preserve">study,</w:t>
      </w:r>
      <w:r>
        <w:t xml:space="preserve"> </w:t>
      </w:r>
      <w:r>
        <w:t xml:space="preserve">we</w:t>
      </w:r>
      <w:r>
        <w:t xml:space="preserve"> </w:t>
      </w:r>
      <w:r>
        <w:t xml:space="preserve">ask</w:t>
      </w:r>
      <w:r>
        <w:t xml:space="preserve"> </w:t>
      </w:r>
      <w:r>
        <w:t xml:space="preserve">whether</w:t>
      </w:r>
      <w:r>
        <w:t xml:space="preserve"> </w:t>
      </w:r>
      <w:r>
        <w:t xml:space="preserve">the</w:t>
      </w:r>
      <w:r>
        <w:t xml:space="preserve"> </w:t>
      </w:r>
      <w:r>
        <w:t xml:space="preserve">challenge</w:t>
      </w:r>
      <w:r>
        <w:t xml:space="preserve"> </w:t>
      </w:r>
      <w:r>
        <w:t xml:space="preserve">in</w:t>
      </w:r>
      <w:r>
        <w:t xml:space="preserve"> </w:t>
      </w:r>
      <w:r>
        <w:t xml:space="preserve">predicting</w:t>
      </w:r>
      <w:r>
        <w:t xml:space="preserve"> </w:t>
      </w:r>
      <w:r>
        <w:t xml:space="preserve">species</w:t>
      </w:r>
      <w:r>
        <w:t xml:space="preserve"> </w:t>
      </w:r>
      <w:r>
        <w:t xml:space="preserve">distribution</w:t>
      </w:r>
      <w:r>
        <w:t xml:space="preserve"> </w:t>
      </w:r>
      <w:r>
        <w:t xml:space="preserve">from</w:t>
      </w:r>
      <w:r>
        <w:t xml:space="preserve"> </w:t>
      </w:r>
      <w:r>
        <w:t xml:space="preserve">demographic</w:t>
      </w:r>
      <w:r>
        <w:t xml:space="preserve"> </w:t>
      </w:r>
      <w:r>
        <w:t xml:space="preserve">rates</w:t>
      </w:r>
      <w:r>
        <w:t xml:space="preserve"> </w:t>
      </w:r>
      <w:r>
        <w:t xml:space="preserve">stems</w:t>
      </w:r>
      <w:r>
        <w:t xml:space="preserve"> </w:t>
      </w:r>
      <w:r>
        <w:t xml:space="preserve">from</w:t>
      </w:r>
      <w:r>
        <w:t xml:space="preserve"> </w:t>
      </w:r>
      <w:r>
        <w:t xml:space="preserve">overlooking</w:t>
      </w:r>
      <w:r>
        <w:t xml:space="preserve"> </w:t>
      </w:r>
      <w:r>
        <w:t xml:space="preserve">the</w:t>
      </w:r>
      <w:r>
        <w:t xml:space="preserve"> </w:t>
      </w:r>
      <w:r>
        <w:t xml:space="preserve">inherent</w:t>
      </w:r>
      <w:r>
        <w:t xml:space="preserve"> </w:t>
      </w:r>
      <w:r>
        <w:t xml:space="preserve">variability</w:t>
      </w:r>
      <w:r>
        <w:t xml:space="preserve"> </w:t>
      </w:r>
      <w:r>
        <w:t xml:space="preserve">of</w:t>
      </w:r>
      <w:r>
        <w:t xml:space="preserve"> </w:t>
      </w:r>
      <w:r>
        <w:t xml:space="preserve">forest</w:t>
      </w:r>
      <w:r>
        <w:t xml:space="preserve"> </w:t>
      </w:r>
      <w:r>
        <w:t xml:space="preserve">systems</w:t>
      </w:r>
      <w:r>
        <w:t xml:space="preserve"> </w:t>
      </w:r>
      <w:r>
        <w:t xml:space="preserve">and</w:t>
      </w:r>
      <w:r>
        <w:t xml:space="preserve"> </w:t>
      </w:r>
      <w:r>
        <w:t xml:space="preserve">the</w:t>
      </w:r>
      <w:r>
        <w:t xml:space="preserve"> </w:t>
      </w:r>
      <w:r>
        <w:t xml:space="preserve">underlying</w:t>
      </w:r>
      <w:r>
        <w:t xml:space="preserve"> </w:t>
      </w:r>
      <w:r>
        <w:t xml:space="preserve">uncertainty</w:t>
      </w:r>
      <w:r>
        <w:t xml:space="preserve"> </w:t>
      </w:r>
      <w:r>
        <w:t xml:space="preserve">of</w:t>
      </w:r>
      <w:r>
        <w:t xml:space="preserve"> </w:t>
      </w:r>
      <w:r>
        <w:t xml:space="preserve">forest</w:t>
      </w:r>
      <w:r>
        <w:t xml:space="preserve"> </w:t>
      </w:r>
      <w:r>
        <w:t xml:space="preserve">models.</w:t>
      </w:r>
      <w:r>
        <w:t xml:space="preserve"> </w:t>
      </w:r>
      <w:r>
        <w:t xml:space="preserve">We</w:t>
      </w:r>
      <w:r>
        <w:t xml:space="preserve"> </w:t>
      </w:r>
      <w:r>
        <w:t xml:space="preserve">use</w:t>
      </w:r>
      <w:r>
        <w:t xml:space="preserve"> </w:t>
      </w:r>
      <w:r>
        <w:t xml:space="preserve">a</w:t>
      </w:r>
      <w:r>
        <w:t xml:space="preserve"> </w:t>
      </w:r>
      <w:r>
        <w:t xml:space="preserve">stochastic</w:t>
      </w:r>
      <w:r>
        <w:t xml:space="preserve"> </w:t>
      </w:r>
      <w:r>
        <w:t xml:space="preserve">Integral</w:t>
      </w:r>
      <w:r>
        <w:t xml:space="preserve"> </w:t>
      </w:r>
      <w:r>
        <w:t xml:space="preserve">Projection</w:t>
      </w:r>
      <w:r>
        <w:t xml:space="preserve"> </w:t>
      </w:r>
      <w:r>
        <w:t xml:space="preserve">Model</w:t>
      </w:r>
      <w:r>
        <w:t xml:space="preserve"> </w:t>
      </w:r>
      <w:r>
        <w:t xml:space="preserve">to</w:t>
      </w:r>
      <w:r>
        <w:t xml:space="preserve"> </w:t>
      </w:r>
      <w:r>
        <w:t xml:space="preserve">predict</w:t>
      </w:r>
      <w:r>
        <w:t xml:space="preserve"> </w:t>
      </w:r>
      <w:r>
        <w:t xml:space="preserve">species-level</w:t>
      </w:r>
      <w:r>
        <w:t xml:space="preserve"> </w:t>
      </w:r>
      <w:r>
        <w:t xml:space="preserve">intrinsic</w:t>
      </w:r>
      <w:r>
        <w:t xml:space="preserve"> </w:t>
      </w:r>
      <w:r>
        <w:t xml:space="preserve">population</w:t>
      </w:r>
      <w:r>
        <w:t xml:space="preserve"> </w:t>
      </w:r>
      <w:r>
        <w:t xml:space="preserve">growth</w:t>
      </w:r>
      <w:r>
        <w:t xml:space="preserve"> </w:t>
      </w:r>
      <w:r>
        <w:t xml:space="preserve">for</w:t>
      </w:r>
      <w:r>
        <w:t xml:space="preserve"> </w:t>
      </w:r>
      <w:r>
        <w:t xml:space="preserve">31</w:t>
      </w:r>
      <w:r>
        <w:t xml:space="preserve"> </w:t>
      </w:r>
      <w:r>
        <w:t xml:space="preserve">eastern</w:t>
      </w:r>
      <w:r>
        <w:t xml:space="preserve"> </w:t>
      </w:r>
      <w:r>
        <w:t xml:space="preserve">North</w:t>
      </w:r>
      <w:r>
        <w:t xml:space="preserve"> </w:t>
      </w:r>
      <w:r>
        <w:t xml:space="preserve">American</w:t>
      </w:r>
      <w:r>
        <w:t xml:space="preserve"> </w:t>
      </w:r>
      <w:r>
        <w:t xml:space="preserve">tree</w:t>
      </w:r>
      <w:r>
        <w:t xml:space="preserve"> </w:t>
      </w:r>
      <w:r>
        <w:t xml:space="preserve">species.</w:t>
      </w:r>
      <w:r>
        <w:t xml:space="preserve"> </w:t>
      </w:r>
      <w:r>
        <w:t xml:space="preserve">We</w:t>
      </w:r>
      <w:r>
        <w:t xml:space="preserve"> </w:t>
      </w:r>
      <w:r>
        <w:t xml:space="preserve">introduce</w:t>
      </w:r>
      <w:r>
        <w:t xml:space="preserve"> </w:t>
      </w:r>
      <w:r>
        <w:t xml:space="preserve">a</w:t>
      </w:r>
      <w:r>
        <w:t xml:space="preserve"> </w:t>
      </w:r>
      <w:r>
        <w:t xml:space="preserve">novel</w:t>
      </w:r>
      <w:r>
        <w:t xml:space="preserve"> </w:t>
      </w:r>
      <w:r>
        <w:t xml:space="preserve">metric</w:t>
      </w:r>
      <w:r>
        <w:t xml:space="preserve"> </w:t>
      </w:r>
      <w:r>
        <w:t xml:space="preserve">for</w:t>
      </w:r>
      <w:r>
        <w:t xml:space="preserve"> </w:t>
      </w:r>
      <w:r>
        <w:t xml:space="preserve">species-level</w:t>
      </w:r>
      <w:r>
        <w:t xml:space="preserve"> </w:t>
      </w:r>
      <w:r>
        <w:t xml:space="preserve">performance</w:t>
      </w:r>
      <w:r>
        <w:t xml:space="preserve"> </w:t>
      </w:r>
      <w:r>
        <w:t xml:space="preserve">we</w:t>
      </w:r>
      <w:r>
        <w:t xml:space="preserve"> </w:t>
      </w:r>
      <w:r>
        <w:t xml:space="preserve">coined</w:t>
      </w:r>
      <w:r>
        <w:t xml:space="preserve"> </w:t>
      </w:r>
      <w:r>
        <w:t xml:space="preserve">local</w:t>
      </w:r>
      <w:r>
        <w:t xml:space="preserve"> </w:t>
      </w:r>
      <w:r>
        <w:t xml:space="preserve">suitable</w:t>
      </w:r>
      <w:r>
        <w:t xml:space="preserve"> </w:t>
      </w:r>
      <w:r>
        <w:t xml:space="preserve">probability,</w:t>
      </w:r>
      <w:r>
        <w:t xml:space="preserve"> </w:t>
      </w:r>
      <w:r>
        <w:t xml:space="preserve">which</w:t>
      </w:r>
      <w:r>
        <w:t xml:space="preserve"> </w:t>
      </w:r>
      <w:r>
        <w:t xml:space="preserve">captures</w:t>
      </w:r>
      <w:r>
        <w:t xml:space="preserve"> </w:t>
      </w:r>
      <w:r>
        <w:t xml:space="preserve">observed</w:t>
      </w:r>
      <w:r>
        <w:t xml:space="preserve"> </w:t>
      </w:r>
      <w:r>
        <w:t xml:space="preserve">spatiotemporal</w:t>
      </w:r>
      <w:r>
        <w:t xml:space="preserve"> </w:t>
      </w:r>
      <w:r>
        <w:t xml:space="preserve">stochasticity</w:t>
      </w:r>
      <w:r>
        <w:t xml:space="preserve"> </w:t>
      </w:r>
      <w:r>
        <w:t xml:space="preserve">in</w:t>
      </w:r>
      <w:r>
        <w:t xml:space="preserve"> </w:t>
      </w:r>
      <w:r>
        <w:t xml:space="preserve">climate</w:t>
      </w:r>
      <w:r>
        <w:t xml:space="preserve"> </w:t>
      </w:r>
      <w:r>
        <w:t xml:space="preserve">and</w:t>
      </w:r>
      <w:r>
        <w:t xml:space="preserve"> </w:t>
      </w:r>
      <w:r>
        <w:t xml:space="preserve">competition</w:t>
      </w:r>
      <w:r>
        <w:t xml:space="preserve"> </w:t>
      </w:r>
      <w:r>
        <w:t xml:space="preserve">while</w:t>
      </w:r>
      <w:r>
        <w:t xml:space="preserve"> </w:t>
      </w:r>
      <w:r>
        <w:t xml:space="preserve">accommodating</w:t>
      </w:r>
      <w:r>
        <w:t xml:space="preserve"> </w:t>
      </w:r>
      <w:r>
        <w:t xml:space="preserve">model</w:t>
      </w:r>
      <w:r>
        <w:t xml:space="preserve"> </w:t>
      </w:r>
      <w:r>
        <w:t xml:space="preserve">uncertainty.</w:t>
      </w:r>
      <w:r>
        <w:t xml:space="preserve"> </w:t>
      </w:r>
      <w:r>
        <w:t xml:space="preserve">Our</w:t>
      </w:r>
      <w:r>
        <w:t xml:space="preserve"> </w:t>
      </w:r>
      <w:r>
        <w:t xml:space="preserve">focus</w:t>
      </w:r>
      <w:r>
        <w:t xml:space="preserve"> </w:t>
      </w:r>
      <w:r>
        <w:t xml:space="preserve">is</w:t>
      </w:r>
      <w:r>
        <w:t xml:space="preserve"> </w:t>
      </w:r>
      <w:r>
        <w:t xml:space="preserve">on</w:t>
      </w:r>
      <w:r>
        <w:t xml:space="preserve"> </w:t>
      </w:r>
      <w:r>
        <w:t xml:space="preserve">investigating</w:t>
      </w:r>
      <w:r>
        <w:t xml:space="preserve"> </w:t>
      </w:r>
      <w:r>
        <w:t xml:space="preserve">how</w:t>
      </w:r>
      <w:r>
        <w:t xml:space="preserve"> </w:t>
      </w:r>
      <w:r>
        <w:t xml:space="preserve">suitable</w:t>
      </w:r>
      <w:r>
        <w:t xml:space="preserve"> </w:t>
      </w:r>
      <w:r>
        <w:t xml:space="preserve">probability</w:t>
      </w:r>
      <w:r>
        <w:t xml:space="preserve"> </w:t>
      </w:r>
      <w:r>
        <w:t xml:space="preserve">changes</w:t>
      </w:r>
      <w:r>
        <w:t xml:space="preserve"> </w:t>
      </w:r>
      <w:r>
        <w:t xml:space="preserve">across</w:t>
      </w:r>
      <w:r>
        <w:t xml:space="preserve"> </w:t>
      </w:r>
      <w:r>
        <w:t xml:space="preserve">the</w:t>
      </w:r>
      <w:r>
        <w:t xml:space="preserve"> </w:t>
      </w:r>
      <w:r>
        <w:t xml:space="preserve">cold-to-hot</w:t>
      </w:r>
      <w:r>
        <w:t xml:space="preserve"> </w:t>
      </w:r>
      <w:r>
        <w:t xml:space="preserve">species</w:t>
      </w:r>
      <w:r>
        <w:t xml:space="preserve"> </w:t>
      </w:r>
      <w:r>
        <w:t xml:space="preserve">range</w:t>
      </w:r>
      <w:r>
        <w:t xml:space="preserve"> </w:t>
      </w:r>
      <w:r>
        <w:t xml:space="preserve">distribution</w:t>
      </w:r>
      <w:r>
        <w:t xml:space="preserve"> </w:t>
      </w:r>
      <w:r>
        <w:t xml:space="preserve">over</w:t>
      </w:r>
      <w:r>
        <w:t xml:space="preserve"> </w:t>
      </w:r>
      <w:r>
        <w:t xml:space="preserve">the</w:t>
      </w:r>
      <w:r>
        <w:t xml:space="preserve"> </w:t>
      </w:r>
      <w:r>
        <w:t xml:space="preserve">mean</w:t>
      </w:r>
      <w:r>
        <w:t xml:space="preserve"> </w:t>
      </w:r>
      <w:r>
        <w:t xml:space="preserve">annual</w:t>
      </w:r>
      <w:r>
        <w:t xml:space="preserve"> </w:t>
      </w:r>
      <w:r>
        <w:t xml:space="preserve">temperature</w:t>
      </w:r>
      <w:r>
        <w:t xml:space="preserve"> </w:t>
      </w:r>
      <w:r>
        <w:t xml:space="preserve">gradient.</w:t>
      </w:r>
      <w:r>
        <w:t xml:space="preserve"> </w:t>
      </w:r>
      <w:r>
        <w:t xml:space="preserve">Our</w:t>
      </w:r>
      <w:r>
        <w:t xml:space="preserve"> </w:t>
      </w:r>
      <w:r>
        <w:t xml:space="preserve">findings</w:t>
      </w:r>
      <w:r>
        <w:t xml:space="preserve"> </w:t>
      </w:r>
      <w:r>
        <w:t xml:space="preserve">reveal</w:t>
      </w:r>
      <w:r>
        <w:t xml:space="preserve"> </w:t>
      </w:r>
      <w:r>
        <w:t xml:space="preserve">a</w:t>
      </w:r>
      <w:r>
        <w:t xml:space="preserve"> </w:t>
      </w:r>
      <w:r>
        <w:t xml:space="preserve">consistent,</w:t>
      </w:r>
      <w:r>
        <w:t xml:space="preserve"> </w:t>
      </w:r>
      <w:r>
        <w:t xml:space="preserve">nearly</w:t>
      </w:r>
      <w:r>
        <w:t xml:space="preserve"> </w:t>
      </w:r>
      <w:r>
        <w:t xml:space="preserve">linear</w:t>
      </w:r>
      <w:r>
        <w:t xml:space="preserve"> </w:t>
      </w:r>
      <w:r>
        <w:t xml:space="preserve">decline</w:t>
      </w:r>
      <w:r>
        <w:t xml:space="preserve"> </w:t>
      </w:r>
      <w:r>
        <w:t xml:space="preserve">in</w:t>
      </w:r>
      <w:r>
        <w:t xml:space="preserve"> </w:t>
      </w:r>
      <w:r>
        <w:t xml:space="preserve">suitable</w:t>
      </w:r>
      <w:r>
        <w:t xml:space="preserve"> </w:t>
      </w:r>
      <w:r>
        <w:t xml:space="preserve">probability</w:t>
      </w:r>
      <w:r>
        <w:t xml:space="preserve"> </w:t>
      </w:r>
      <w:r>
        <w:t xml:space="preserve">from</w:t>
      </w:r>
      <w:r>
        <w:t xml:space="preserve"> </w:t>
      </w:r>
      <w:r>
        <w:t xml:space="preserve">the</w:t>
      </w:r>
      <w:r>
        <w:t xml:space="preserve"> </w:t>
      </w:r>
      <w:r>
        <w:t xml:space="preserve">cold</w:t>
      </w:r>
      <w:r>
        <w:t xml:space="preserve"> </w:t>
      </w:r>
      <w:r>
        <w:t xml:space="preserve">to</w:t>
      </w:r>
      <w:r>
        <w:t xml:space="preserve"> </w:t>
      </w:r>
      <w:r>
        <w:t xml:space="preserve">hot</w:t>
      </w:r>
      <w:r>
        <w:t xml:space="preserve"> </w:t>
      </w:r>
      <w:r>
        <w:t xml:space="preserve">borders</w:t>
      </w:r>
      <w:r>
        <w:t xml:space="preserve"> </w:t>
      </w:r>
      <w:r>
        <w:t xml:space="preserve">across</w:t>
      </w:r>
      <w:r>
        <w:t xml:space="preserve"> </w:t>
      </w:r>
      <w:r>
        <w:t xml:space="preserve">the</w:t>
      </w:r>
      <w:r>
        <w:t xml:space="preserve"> </w:t>
      </w:r>
      <w:r>
        <w:t xml:space="preserve">species.</w:t>
      </w:r>
      <w:r>
        <w:t xml:space="preserve"> </w:t>
      </w:r>
      <w:r>
        <w:t xml:space="preserve">This</w:t>
      </w:r>
      <w:r>
        <w:t xml:space="preserve"> </w:t>
      </w:r>
      <w:r>
        <w:t xml:space="preserve">change</w:t>
      </w:r>
      <w:r>
        <w:t xml:space="preserve"> </w:t>
      </w:r>
      <w:r>
        <w:t xml:space="preserve">in</w:t>
      </w:r>
      <w:r>
        <w:t xml:space="preserve"> </w:t>
      </w:r>
      <w:r>
        <w:t xml:space="preserve">suitable</w:t>
      </w:r>
      <w:r>
        <w:t xml:space="preserve"> </w:t>
      </w:r>
      <w:r>
        <w:t xml:space="preserve">probability</w:t>
      </w:r>
      <w:r>
        <w:t xml:space="preserve"> </w:t>
      </w:r>
      <w:r>
        <w:t xml:space="preserve">towards</w:t>
      </w:r>
      <w:r>
        <w:t xml:space="preserve"> </w:t>
      </w:r>
      <w:r>
        <w:t xml:space="preserve">the</w:t>
      </w:r>
      <w:r>
        <w:t xml:space="preserve"> </w:t>
      </w:r>
      <w:r>
        <w:t xml:space="preserve">orders</w:t>
      </w:r>
      <w:r>
        <w:t xml:space="preserve"> </w:t>
      </w:r>
      <w:r>
        <w:t xml:space="preserve">is</w:t>
      </w:r>
      <w:r>
        <w:t xml:space="preserve"> </w:t>
      </w:r>
      <w:r>
        <w:t xml:space="preserve">primarily</w:t>
      </w:r>
      <w:r>
        <w:t xml:space="preserve"> </w:t>
      </w:r>
      <w:r>
        <w:t xml:space="preserve">driven</w:t>
      </w:r>
      <w:r>
        <w:t xml:space="preserve"> </w:t>
      </w:r>
      <w:r>
        <w:t xml:space="preserve">by</w:t>
      </w:r>
      <w:r>
        <w:t xml:space="preserve"> </w:t>
      </w:r>
      <w:r>
        <w:t xml:space="preserve">climate</w:t>
      </w:r>
      <w:r>
        <w:t xml:space="preserve"> </w:t>
      </w:r>
      <w:r>
        <w:t xml:space="preserve">rather</w:t>
      </w:r>
      <w:r>
        <w:t xml:space="preserve"> </w:t>
      </w:r>
      <w:r>
        <w:t xml:space="preserve">than</w:t>
      </w:r>
      <w:r>
        <w:t xml:space="preserve"> </w:t>
      </w:r>
      <w:r>
        <w:t xml:space="preserve">competition.</w:t>
      </w:r>
      <w:r>
        <w:t xml:space="preserve"> </w:t>
      </w:r>
      <w:r>
        <w:t xml:space="preserve">These</w:t>
      </w:r>
      <w:r>
        <w:t xml:space="preserve"> </w:t>
      </w:r>
      <w:r>
        <w:t xml:space="preserve">results,</w:t>
      </w:r>
      <w:r>
        <w:t xml:space="preserve"> </w:t>
      </w:r>
      <w:r>
        <w:t xml:space="preserve">supported</w:t>
      </w:r>
      <w:r>
        <w:t xml:space="preserve"> </w:t>
      </w:r>
      <w:r>
        <w:t xml:space="preserve">by</w:t>
      </w:r>
      <w:r>
        <w:t xml:space="preserve"> </w:t>
      </w:r>
      <w:r>
        <w:t xml:space="preserve">a</w:t>
      </w:r>
      <w:r>
        <w:t xml:space="preserve"> </w:t>
      </w:r>
      <w:r>
        <w:t xml:space="preserve">novel</w:t>
      </w:r>
      <w:r>
        <w:t xml:space="preserve"> </w:t>
      </w:r>
      <w:r>
        <w:t xml:space="preserve">approach</w:t>
      </w:r>
      <w:r>
        <w:t xml:space="preserve"> </w:t>
      </w:r>
      <w:r>
        <w:t xml:space="preserve">accounting</w:t>
      </w:r>
      <w:r>
        <w:t xml:space="preserve"> </w:t>
      </w:r>
      <w:r>
        <w:t xml:space="preserve">for</w:t>
      </w:r>
      <w:r>
        <w:t xml:space="preserve"> </w:t>
      </w:r>
      <w:r>
        <w:t xml:space="preserve">uncertainty,</w:t>
      </w:r>
      <w:r>
        <w:t xml:space="preserve"> </w:t>
      </w:r>
      <w:r>
        <w:t xml:space="preserve">enhance</w:t>
      </w:r>
      <w:r>
        <w:t xml:space="preserve"> </w:t>
      </w:r>
      <w:r>
        <w:t xml:space="preserve">our</w:t>
      </w:r>
      <w:r>
        <w:t xml:space="preserve"> </w:t>
      </w:r>
      <w:r>
        <w:t xml:space="preserve">understanding</w:t>
      </w:r>
      <w:r>
        <w:t xml:space="preserve"> </w:t>
      </w:r>
      <w:r>
        <w:t xml:space="preserve">of</w:t>
      </w:r>
      <w:r>
        <w:t xml:space="preserve"> </w:t>
      </w:r>
      <w:r>
        <w:t xml:space="preserve">the</w:t>
      </w:r>
      <w:r>
        <w:t xml:space="preserve"> </w:t>
      </w:r>
      <w:r>
        <w:t xml:space="preserve">nuanced</w:t>
      </w:r>
      <w:r>
        <w:t xml:space="preserve"> </w:t>
      </w:r>
      <w:r>
        <w:t xml:space="preserve">interplay</w:t>
      </w:r>
      <w:r>
        <w:t xml:space="preserve"> </w:t>
      </w:r>
      <w:r>
        <w:t xml:space="preserve">between</w:t>
      </w:r>
      <w:r>
        <w:t xml:space="preserve"> </w:t>
      </w:r>
      <w:r>
        <w:t xml:space="preserve">climate</w:t>
      </w:r>
      <w:r>
        <w:t xml:space="preserve"> </w:t>
      </w:r>
      <w:r>
        <w:t xml:space="preserve">and</w:t>
      </w:r>
      <w:r>
        <w:t xml:space="preserve"> </w:t>
      </w:r>
      <w:r>
        <w:t xml:space="preserve">competition</w:t>
      </w:r>
      <w:r>
        <w:t xml:space="preserve"> </w:t>
      </w:r>
      <w:r>
        <w:t xml:space="preserve">across</w:t>
      </w:r>
      <w:r>
        <w:t xml:space="preserve"> </w:t>
      </w:r>
      <w:r>
        <w:t xml:space="preserve">species</w:t>
      </w:r>
      <w:r>
        <w:t xml:space="preserve"> </w:t>
      </w:r>
      <w:r>
        <w:t xml:space="preserve">ranges.</w:t>
      </w:r>
      <w:r>
        <w:t xml:space="preserve"> </w:t>
      </w:r>
      <w:r>
        <w:t xml:space="preserve">We</w:t>
      </w:r>
      <w:r>
        <w:t xml:space="preserve"> </w:t>
      </w:r>
      <w:r>
        <w:t xml:space="preserve">conclude</w:t>
      </w:r>
      <w:r>
        <w:t xml:space="preserve"> </w:t>
      </w:r>
      <w:r>
        <w:t xml:space="preserve">by</w:t>
      </w:r>
      <w:r>
        <w:t xml:space="preserve"> </w:t>
      </w:r>
      <w:r>
        <w:t xml:space="preserve">proposing</w:t>
      </w:r>
      <w:r>
        <w:t xml:space="preserve"> </w:t>
      </w:r>
      <w:r>
        <w:t xml:space="preserve">a</w:t>
      </w:r>
      <w:r>
        <w:t xml:space="preserve"> </w:t>
      </w:r>
      <w:r>
        <w:t xml:space="preserve">novel</w:t>
      </w:r>
      <w:r>
        <w:t xml:space="preserve"> </w:t>
      </w:r>
      <w:r>
        <w:t xml:space="preserve">theory</w:t>
      </w:r>
      <w:r>
        <w:t xml:space="preserve"> </w:t>
      </w:r>
      <w:r>
        <w:t xml:space="preserve">that</w:t>
      </w:r>
      <w:r>
        <w:t xml:space="preserve"> </w:t>
      </w:r>
      <w:r>
        <w:t xml:space="preserve">uses</w:t>
      </w:r>
      <w:r>
        <w:t xml:space="preserve"> </w:t>
      </w:r>
      <w:r>
        <w:t xml:space="preserve">the</w:t>
      </w:r>
      <w:r>
        <w:t xml:space="preserve"> </w:t>
      </w:r>
      <w:r>
        <w:t xml:space="preserve">local</w:t>
      </w:r>
      <w:r>
        <w:t xml:space="preserve"> </w:t>
      </w:r>
      <w:r>
        <w:t xml:space="preserve">suitable</w:t>
      </w:r>
      <w:r>
        <w:t xml:space="preserve"> </w:t>
      </w:r>
      <w:r>
        <w:t xml:space="preserve">probability</w:t>
      </w:r>
      <w:r>
        <w:t xml:space="preserve"> </w:t>
      </w:r>
      <w:r>
        <w:t xml:space="preserve">to</w:t>
      </w:r>
      <w:r>
        <w:t xml:space="preserve"> </w:t>
      </w:r>
      <w:r>
        <w:t xml:space="preserve">establish</w:t>
      </w:r>
      <w:r>
        <w:t xml:space="preserve"> </w:t>
      </w:r>
      <w:r>
        <w:t xml:space="preserve">a</w:t>
      </w:r>
      <w:r>
        <w:t xml:space="preserve"> </w:t>
      </w:r>
      <w:r>
        <w:t xml:space="preserve">link</w:t>
      </w:r>
      <w:r>
        <w:t xml:space="preserve"> </w:t>
      </w:r>
      <w:r>
        <w:t xml:space="preserve">between</w:t>
      </w:r>
      <w:r>
        <w:t xml:space="preserve"> </w:t>
      </w:r>
      <w:r>
        <w:t xml:space="preserve">individual</w:t>
      </w:r>
      <w:r>
        <w:t xml:space="preserve"> </w:t>
      </w:r>
      <w:r>
        <w:t xml:space="preserve">demographic</w:t>
      </w:r>
      <w:r>
        <w:t xml:space="preserve"> </w:t>
      </w:r>
      <w:r>
        <w:t xml:space="preserve">rates</w:t>
      </w:r>
      <w:r>
        <w:t xml:space="preserve"> </w:t>
      </w:r>
      <w:r>
        <w:t xml:space="preserve">and</w:t>
      </w:r>
      <w:r>
        <w:t xml:space="preserve"> </w:t>
      </w:r>
      <w:r>
        <w:t xml:space="preserve">metapopulation</w:t>
      </w:r>
      <w:r>
        <w:t xml:space="preserve"> </w:t>
      </w:r>
      <w:r>
        <w:t xml:space="preserve">dynamics.</w:t>
      </w:r>
    </w:p>
    <w:p>
      <w:pPr>
        <w:pStyle w:val="FirstParagraph"/>
      </w:pPr>
      <w:r>
        <w:rPr>
          <w:b/>
        </w:rPr>
        <w:t xml:space="preserve">Keywords</w:t>
      </w:r>
      <w:r>
        <w:t xml:space="preserve">: Integral Projection Models, Species</w:t>
      </w:r>
      <w:r>
        <w:t xml:space="preserve"> </w:t>
      </w:r>
      <w:r>
        <w:t xml:space="preserve">distribution, Individual variability, Environmental</w:t>
      </w:r>
      <w:r>
        <w:t xml:space="preserve"> </w:t>
      </w:r>
      <w:r>
        <w:t xml:space="preserve">stochasticity, Forest demography</w:t>
      </w:r>
    </w:p>
    <w:p>
      <w:pPr>
        <w:pStyle w:val="BodyText"/>
      </w:pPr>
      <w:r>
        <w:rPr>
          <w:b/>
        </w:rPr>
        <w:t xml:space="preserve">Running title</w:t>
      </w:r>
      <w:r>
        <w:t xml:space="preserve">: Unifying scales with stochastic population</w:t>
      </w:r>
      <w:r>
        <w:t xml:space="preserve"> </w:t>
      </w:r>
      <w:r>
        <w:t xml:space="preserve">models</w:t>
      </w:r>
      <w:r>
        <w:br/>
      </w:r>
      <w:r>
        <w:br/>
      </w:r>
      <w:r>
        <w:rPr>
          <w:b/>
        </w:rPr>
        <w:t xml:space="preserve">Supporting information</w:t>
      </w:r>
      <w:r>
        <w:t xml:space="preserve">: Additional supporting information can be found</w:t>
      </w:r>
      <w:r>
        <w:t xml:space="preserve"> </w:t>
      </w:r>
      <w:hyperlink r:id="rId20">
        <w:r>
          <w:rPr>
            <w:rStyle w:val="Hyperlink"/>
          </w:rPr>
          <w:t xml:space="preserve">here</w:t>
        </w:r>
      </w:hyperlink>
      <w:r>
        <w:t xml:space="preserve">.</w:t>
      </w:r>
      <w:r>
        <w:br/>
      </w:r>
      <w:r>
        <w:br/>
      </w:r>
      <w:r>
        <w:rPr>
          <w:b/>
        </w:rPr>
        <w:t xml:space="preserve">Acknowledgments</w:t>
      </w:r>
      <w:r>
        <w:t xml:space="preserve">: We thank nice people</w:t>
      </w:r>
      <w:r>
        <w:br/>
      </w:r>
      <w:r>
        <w:br/>
      </w:r>
      <w:r>
        <w:rPr>
          <w:b/>
        </w:rPr>
        <w:t xml:space="preserve">Data availability</w:t>
      </w:r>
      <w:r>
        <w:t xml:space="preserve">: All the code and data used to reproduce</w:t>
      </w:r>
      <w:r>
        <w:t xml:space="preserve"> </w:t>
      </w:r>
      <w:r>
        <w:t xml:space="preserve">the analysis, figure and manuscript are stored as a research compendium</w:t>
      </w:r>
      <w:r>
        <w:t xml:space="preserve"> </w:t>
      </w:r>
      <w:r>
        <w:t xml:space="preserve">at</w:t>
      </w:r>
      <w:r>
        <w:t xml:space="preserve"> </w:t>
      </w:r>
      <w:hyperlink r:id="rId21">
        <w:r>
          <w:rPr>
            <w:rStyle w:val="Hyperlink"/>
          </w:rPr>
          <w:t xml:space="preserve">https://github.com/willvieira/ms_forest-suitable-probability</w:t>
        </w:r>
      </w:hyperlink>
      <w:r>
        <w:t xml:space="preserve">).</w:t>
      </w:r>
      <w:r>
        <w:br/>
      </w:r>
      <w:r>
        <w:br/>
      </w:r>
      <w:r>
        <w:rPr>
          <w:b/>
        </w:rPr>
        <w:t xml:space="preserve">Funding</w:t>
      </w:r>
      <w:r>
        <w:t xml:space="preserve">: This research was supported by the BIOS² NSERC</w:t>
      </w:r>
      <w:r>
        <w:t xml:space="preserve"> </w:t>
      </w:r>
      <w:r>
        <w:t xml:space="preserve">CREATE program.</w:t>
      </w:r>
      <w:r>
        <w:br/>
      </w:r>
      <w:r>
        <w:br/>
      </w:r>
      <w:r>
        <w:rPr>
          <w:b/>
        </w:rPr>
        <w:t xml:space="preserve">Conflicts of interest</w:t>
      </w:r>
      <w:r>
        <w:t xml:space="preserve">: The authors declare no conflict of</w:t>
      </w:r>
      <w:r>
        <w:t xml:space="preserve"> </w:t>
      </w:r>
      <w:r>
        <w:t xml:space="preserve">interest.</w:t>
      </w:r>
      <w:r>
        <w:br/>
      </w:r>
      <w:r>
        <w:br/>
      </w:r>
    </w:p>
    <w:bookmarkStart w:id="22" w:name="introduction"/>
    <w:p>
      <w:pPr>
        <w:pStyle w:val="Heading1"/>
      </w:pPr>
      <w:r>
        <w:t xml:space="preserve">Introduction</w:t>
      </w:r>
    </w:p>
    <w:p>
      <w:pPr>
        <w:pStyle w:val="FirstParagraph"/>
      </w:pPr>
      <w:r>
        <w:t xml:space="preserve">Climate warming poses a significant challenge for several species,</w:t>
      </w:r>
      <w:r>
        <w:t xml:space="preserve"> </w:t>
      </w:r>
      <w:r>
        <w:t xml:space="preserve">particularly for trees that struggle to follow temperature warming and</w:t>
      </w:r>
      <w:r>
        <w:t xml:space="preserve"> </w:t>
      </w:r>
      <w:r>
        <w:t xml:space="preserve">moving ranges (Sittaro et al.</w:t>
      </w:r>
      <w:r>
        <w:t xml:space="preserve"> </w:t>
      </w:r>
      <w:hyperlink w:anchor="ref-Sittaro2017">
        <w:r>
          <w:rPr>
            <w:rStyle w:val="Hyperlink"/>
          </w:rPr>
          <w:t xml:space="preserve">2017</w:t>
        </w:r>
      </w:hyperlink>
      <w:r>
        <w:t xml:space="preserve">). It is imperative to untangle</w:t>
      </w:r>
      <w:r>
        <w:t xml:space="preserve"> </w:t>
      </w:r>
      <w:r>
        <w:t xml:space="preserve">the mechanisms governing their range limits to forecast how they will</w:t>
      </w:r>
      <w:r>
        <w:t xml:space="preserve"> </w:t>
      </w:r>
      <w:r>
        <w:t xml:space="preserve">respond to climate change. The niche theory predicts that a species will</w:t>
      </w:r>
      <w:r>
        <w:t xml:space="preserve"> </w:t>
      </w:r>
      <w:r>
        <w:t xml:space="preserve">be present in suitable environmental conditions that allow the species</w:t>
      </w:r>
      <w:r>
        <w:t xml:space="preserve"> </w:t>
      </w:r>
      <w:r>
        <w:t xml:space="preserve">to have a positive growth rate (Hutchinson</w:t>
      </w:r>
      <w:r>
        <w:t xml:space="preserve"> </w:t>
      </w:r>
      <w:hyperlink w:anchor="ref-Hutchinson1957">
        <w:r>
          <w:rPr>
            <w:rStyle w:val="Hyperlink"/>
          </w:rPr>
          <w:t xml:space="preserve">1957</w:t>
        </w:r>
      </w:hyperlink>
      <w:r>
        <w:t xml:space="preserve">). From this theory, we can</w:t>
      </w:r>
      <w:r>
        <w:t xml:space="preserve"> </w:t>
      </w:r>
      <w:r>
        <w:t xml:space="preserve">define the geographic distribution of a species as a manifestation of</w:t>
      </w:r>
      <w:r>
        <w:t xml:space="preserve"> </w:t>
      </w:r>
      <w:r>
        <w:t xml:space="preserve">individual demographic rates, such as growth, survival, and recruitment</w:t>
      </w:r>
      <w:r>
        <w:t xml:space="preserve"> </w:t>
      </w:r>
      <w:r>
        <w:t xml:space="preserve">(Holt</w:t>
      </w:r>
      <w:r>
        <w:t xml:space="preserve"> </w:t>
      </w:r>
      <w:hyperlink w:anchor="ref-holt2009">
        <w:r>
          <w:rPr>
            <w:rStyle w:val="Hyperlink"/>
          </w:rPr>
          <w:t xml:space="preserve">2009</w:t>
        </w:r>
      </w:hyperlink>
      <w:r>
        <w:t xml:space="preserve">). By assuming these</w:t>
      </w:r>
      <w:r>
        <w:t xml:space="preserve"> </w:t>
      </w:r>
      <w:r>
        <w:t xml:space="preserve">demographic rates change with the environment, we can predict a species’</w:t>
      </w:r>
      <w:r>
        <w:t xml:space="preserve"> </w:t>
      </w:r>
      <w:r>
        <w:t xml:space="preserve">range limits based on its individuals’ performance (Maguire Jr</w:t>
      </w:r>
      <w:r>
        <w:t xml:space="preserve"> </w:t>
      </w:r>
      <w:hyperlink w:anchor="ref-maguire1973niche">
        <w:r>
          <w:rPr>
            <w:rStyle w:val="Hyperlink"/>
          </w:rPr>
          <w:t xml:space="preserve">1973</w:t>
        </w:r>
      </w:hyperlink>
      <w:r>
        <w:t xml:space="preserve">, Holt</w:t>
      </w:r>
      <w:r>
        <w:t xml:space="preserve"> </w:t>
      </w:r>
      <w:hyperlink w:anchor="ref-holt2009">
        <w:r>
          <w:rPr>
            <w:rStyle w:val="Hyperlink"/>
          </w:rPr>
          <w:t xml:space="preserve">2009</w:t>
        </w:r>
      </w:hyperlink>
      <w:r>
        <w:t xml:space="preserve">).</w:t>
      </w:r>
    </w:p>
    <w:p>
      <w:pPr>
        <w:pStyle w:val="BodyText"/>
      </w:pPr>
      <w:r>
        <w:t xml:space="preserve">Biotic interaction is undoubtedly an essential driver of demographic</w:t>
      </w:r>
      <w:r>
        <w:t xml:space="preserve"> </w:t>
      </w:r>
      <w:r>
        <w:t xml:space="preserve">rates and, thereby, a potential driver of range limits. A recent</w:t>
      </w:r>
      <w:r>
        <w:t xml:space="preserve"> </w:t>
      </w:r>
      <w:r>
        <w:t xml:space="preserve">theoretical framework based on coexistence theory has been proposed to</w:t>
      </w:r>
      <w:r>
        <w:t xml:space="preserve"> </w:t>
      </w:r>
      <w:r>
        <w:t xml:space="preserve">assess how biotic interactions can scale up to affect range limits</w:t>
      </w:r>
      <w:r>
        <w:t xml:space="preserve"> </w:t>
      </w:r>
      <w:r>
        <w:t xml:space="preserve">(Godsoe et al.</w:t>
      </w:r>
      <w:r>
        <w:t xml:space="preserve"> </w:t>
      </w:r>
      <w:hyperlink w:anchor="ref-Godsoe2017">
        <w:r>
          <w:rPr>
            <w:rStyle w:val="Hyperlink"/>
          </w:rPr>
          <w:t xml:space="preserve">2017</w:t>
        </w:r>
      </w:hyperlink>
      <w:r>
        <w:t xml:space="preserve">). Formally, this</w:t>
      </w:r>
      <w:r>
        <w:t xml:space="preserve"> </w:t>
      </w:r>
      <w:r>
        <w:t xml:space="preserve">framework evaluates the intrinsic population growth rate when the focal</w:t>
      </w:r>
      <w:r>
        <w:t xml:space="preserve"> </w:t>
      </w:r>
      <w:r>
        <w:t xml:space="preserve">species is rare (Chesson</w:t>
      </w:r>
      <w:r>
        <w:t xml:space="preserve"> </w:t>
      </w:r>
      <w:hyperlink w:anchor="ref-Chesson2000a">
        <w:r>
          <w:rPr>
            <w:rStyle w:val="Hyperlink"/>
          </w:rPr>
          <w:t xml:space="preserve">2000</w:t>
        </w:r>
      </w:hyperlink>
      <w:r>
        <w:t xml:space="preserve">),</w:t>
      </w:r>
      <w:r>
        <w:t xml:space="preserve"> </w:t>
      </w:r>
      <w:r>
        <w:t xml:space="preserve">both in scenarios where there is no competition (fundamental niche) and</w:t>
      </w:r>
      <w:r>
        <w:t xml:space="preserve"> </w:t>
      </w:r>
      <w:r>
        <w:t xml:space="preserve">when competitive species reach equilibrium (realized niche). Numerous</w:t>
      </w:r>
      <w:r>
        <w:t xml:space="preserve"> </w:t>
      </w:r>
      <w:r>
        <w:t xml:space="preserve">studies have explored the influence of climate and competition on the</w:t>
      </w:r>
      <w:r>
        <w:t xml:space="preserve"> </w:t>
      </w:r>
      <w:r>
        <w:t xml:space="preserve">distribution of forest trees across their ranges. For instance, Ettinger</w:t>
      </w:r>
      <w:r>
        <w:t xml:space="preserve"> </w:t>
      </w:r>
      <w:r>
        <w:t xml:space="preserve">and HilleRisLambers (</w:t>
      </w:r>
      <w:hyperlink w:anchor="ref-Ettinger2017">
        <w:r>
          <w:rPr>
            <w:rStyle w:val="Hyperlink"/>
          </w:rPr>
          <w:t xml:space="preserve">2017</w:t>
        </w:r>
      </w:hyperlink>
      <w:r>
        <w:t xml:space="preserve">)</w:t>
      </w:r>
      <w:r>
        <w:t xml:space="preserve"> </w:t>
      </w:r>
      <w:r>
        <w:t xml:space="preserve">observed in field experiments that neighboring competition constrained</w:t>
      </w:r>
      <w:r>
        <w:t xml:space="preserve"> </w:t>
      </w:r>
      <w:r>
        <w:t xml:space="preserve">individual performance within the range but facilitated better</w:t>
      </w:r>
      <w:r>
        <w:t xml:space="preserve"> </w:t>
      </w:r>
      <w:r>
        <w:t xml:space="preserve">performance outside the range. Using a dynamic forest model, Scherrer et</w:t>
      </w:r>
      <w:r>
        <w:t xml:space="preserve"> </w:t>
      </w:r>
      <w:r>
        <w:t xml:space="preserve">al. (</w:t>
      </w:r>
      <w:hyperlink w:anchor="ref-Scherrer2020">
        <w:r>
          <w:rPr>
            <w:rStyle w:val="Hyperlink"/>
          </w:rPr>
          <w:t xml:space="preserve">2020</w:t>
        </w:r>
      </w:hyperlink>
      <w:r>
        <w:t xml:space="preserve">) showed how slow</w:t>
      </w:r>
      <w:r>
        <w:t xml:space="preserve"> </w:t>
      </w:r>
      <w:r>
        <w:t xml:space="preserve">demographic rates and negative competition reduce the uphill migration</w:t>
      </w:r>
      <w:r>
        <w:t xml:space="preserve"> </w:t>
      </w:r>
      <w:r>
        <w:t xml:space="preserve">rate of 16 tree species. Despite this evidence, the application of this</w:t>
      </w:r>
      <w:r>
        <w:t xml:space="preserve"> </w:t>
      </w:r>
      <w:r>
        <w:t xml:space="preserve">framework to predict the geographic distribution of species based on</w:t>
      </w:r>
      <w:r>
        <w:t xml:space="preserve"> </w:t>
      </w:r>
      <w:r>
        <w:t xml:space="preserve">demographic rates often reveals weak correlations between the</w:t>
      </w:r>
      <w:r>
        <w:t xml:space="preserve"> </w:t>
      </w:r>
      <w:r>
        <w:t xml:space="preserve">performance of tree species and their distribution (McGill</w:t>
      </w:r>
      <w:r>
        <w:t xml:space="preserve"> </w:t>
      </w:r>
      <w:hyperlink w:anchor="ref-McGill2012">
        <w:r>
          <w:rPr>
            <w:rStyle w:val="Hyperlink"/>
          </w:rPr>
          <w:t xml:space="preserve">2012</w:t>
        </w:r>
      </w:hyperlink>
      <w:r>
        <w:t xml:space="preserve">, Csergo et al.</w:t>
      </w:r>
      <w:r>
        <w:t xml:space="preserve"> </w:t>
      </w:r>
      <w:hyperlink w:anchor="ref-Csergo2017">
        <w:r>
          <w:rPr>
            <w:rStyle w:val="Hyperlink"/>
          </w:rPr>
          <w:t xml:space="preserve">2017</w:t>
        </w:r>
      </w:hyperlink>
      <w:r>
        <w:t xml:space="preserve">, Bohner and Diez</w:t>
      </w:r>
      <w:r>
        <w:t xml:space="preserve"> </w:t>
      </w:r>
      <w:hyperlink w:anchor="ref-bohner2020">
        <w:r>
          <w:rPr>
            <w:rStyle w:val="Hyperlink"/>
          </w:rPr>
          <w:t xml:space="preserve">2020</w:t>
        </w:r>
      </w:hyperlink>
      <w:r>
        <w:t xml:space="preserve">, Le Squin et al.</w:t>
      </w:r>
      <w:r>
        <w:t xml:space="preserve"> </w:t>
      </w:r>
      <w:hyperlink w:anchor="ref-LeSquin2021">
        <w:r>
          <w:rPr>
            <w:rStyle w:val="Hyperlink"/>
          </w:rPr>
          <w:t xml:space="preserve">2021</w:t>
        </w:r>
      </w:hyperlink>
      <w:r>
        <w:t xml:space="preserve">, Midolo et al.</w:t>
      </w:r>
      <w:r>
        <w:t xml:space="preserve"> </w:t>
      </w:r>
      <w:hyperlink w:anchor="ref-Midolo2021">
        <w:r>
          <w:rPr>
            <w:rStyle w:val="Hyperlink"/>
          </w:rPr>
          <w:t xml:space="preserve">2021</w:t>
        </w:r>
      </w:hyperlink>
      <w:r>
        <w:t xml:space="preserve">, Guyennon et al.</w:t>
      </w:r>
      <w:r>
        <w:t xml:space="preserve"> </w:t>
      </w:r>
      <w:hyperlink w:anchor="ref-Guyennon2023">
        <w:r>
          <w:rPr>
            <w:rStyle w:val="Hyperlink"/>
          </w:rPr>
          <w:t xml:space="preserve">2023</w:t>
        </w:r>
      </w:hyperlink>
      <w:r>
        <w:t xml:space="preserve">, Thuiller et al.</w:t>
      </w:r>
      <w:r>
        <w:t xml:space="preserve"> </w:t>
      </w:r>
      <w:hyperlink w:anchor="ref-Thuiller2014">
        <w:r>
          <w:rPr>
            <w:rStyle w:val="Hyperlink"/>
          </w:rPr>
          <w:t xml:space="preserve">2014</w:t>
        </w:r>
      </w:hyperlink>
      <w:r>
        <w:t xml:space="preserve">).</w:t>
      </w:r>
    </w:p>
    <w:p>
      <w:pPr>
        <w:pStyle w:val="BodyText"/>
      </w:pPr>
      <w:r>
        <w:t xml:space="preserve">One possible explanation for such discrepancy between demographic rates</w:t>
      </w:r>
      <w:r>
        <w:t xml:space="preserve"> </w:t>
      </w:r>
      <w:r>
        <w:t xml:space="preserve">and species distribution is the common practice of assessing performance</w:t>
      </w:r>
      <w:r>
        <w:t xml:space="preserve"> </w:t>
      </w:r>
      <w:r>
        <w:t xml:space="preserve">under average conditions and pointwise estimations, neglecting the</w:t>
      </w:r>
      <w:r>
        <w:t xml:space="preserve"> </w:t>
      </w:r>
      <w:r>
        <w:t xml:space="preserve">associated uncertainty in these estimates. In ecological models, the</w:t>
      </w:r>
      <w:r>
        <w:t xml:space="preserve"> </w:t>
      </w:r>
      <w:r>
        <w:t xml:space="preserve">uncertainty in estimation arises from three distinct sources. The first</w:t>
      </w:r>
      <w:r>
        <w:t xml:space="preserve"> </w:t>
      </w:r>
      <w:r>
        <w:t xml:space="preserve">source involves measurement errors, a factor often neglected in</w:t>
      </w:r>
      <w:r>
        <w:t xml:space="preserve"> </w:t>
      </w:r>
      <w:r>
        <w:t xml:space="preserve">ecological models (Damgaard</w:t>
      </w:r>
      <w:r>
        <w:t xml:space="preserve"> </w:t>
      </w:r>
      <w:hyperlink w:anchor="ref-Damgaard2020">
        <w:r>
          <w:rPr>
            <w:rStyle w:val="Hyperlink"/>
          </w:rPr>
          <w:t xml:space="preserve">2020</w:t>
        </w:r>
      </w:hyperlink>
      <w:r>
        <w:t xml:space="preserve">).</w:t>
      </w:r>
      <w:r>
        <w:t xml:space="preserve"> </w:t>
      </w:r>
      <w:r>
        <w:t xml:space="preserve">The second is process uncertainty linked to model (mis)specification</w:t>
      </w:r>
      <w:r>
        <w:t xml:space="preserve"> </w:t>
      </w:r>
      <w:r>
        <w:t xml:space="preserve">(Harwood and Stokes</w:t>
      </w:r>
      <w:r>
        <w:t xml:space="preserve"> </w:t>
      </w:r>
      <w:hyperlink w:anchor="ref-Harwood2003">
        <w:r>
          <w:rPr>
            <w:rStyle w:val="Hyperlink"/>
          </w:rPr>
          <w:t xml:space="preserve">2003</w:t>
        </w:r>
      </w:hyperlink>
      <w:r>
        <w:t xml:space="preserve">),</w:t>
      </w:r>
      <w:r>
        <w:t xml:space="preserve"> </w:t>
      </w:r>
      <w:r>
        <w:t xml:space="preserve">determined by all variation that is not captured by the model</w:t>
      </w:r>
      <w:r>
        <w:t xml:space="preserve"> </w:t>
      </w:r>
      <w:r>
        <w:t xml:space="preserve">covariates. Finally, even with a well-defined model and precise data,</w:t>
      </w:r>
      <w:r>
        <w:t xml:space="preserve"> </w:t>
      </w:r>
      <w:r>
        <w:t xml:space="preserve">models must also consider parameter uncertainty due to individual</w:t>
      </w:r>
      <w:r>
        <w:t xml:space="preserve"> </w:t>
      </w:r>
      <w:r>
        <w:t xml:space="preserve">variability (Cressie et al.</w:t>
      </w:r>
      <w:r>
        <w:t xml:space="preserve"> </w:t>
      </w:r>
      <w:hyperlink w:anchor="ref-Cressie2009">
        <w:r>
          <w:rPr>
            <w:rStyle w:val="Hyperlink"/>
          </w:rPr>
          <w:t xml:space="preserve">2009</w:t>
        </w:r>
      </w:hyperlink>
      <w:r>
        <w:t xml:space="preserve">,</w:t>
      </w:r>
      <w:r>
        <w:t xml:space="preserve"> </w:t>
      </w:r>
      <w:r>
        <w:t xml:space="preserve">Shoemaker et al.</w:t>
      </w:r>
      <w:r>
        <w:t xml:space="preserve"> </w:t>
      </w:r>
      <w:hyperlink w:anchor="ref-Shoemaker2020">
        <w:r>
          <w:rPr>
            <w:rStyle w:val="Hyperlink"/>
          </w:rPr>
          <w:t xml:space="preserve">2020</w:t>
        </w:r>
      </w:hyperlink>
      <w:r>
        <w:t xml:space="preserve">).</w:t>
      </w:r>
    </w:p>
    <w:p>
      <w:pPr>
        <w:pStyle w:val="BodyText"/>
      </w:pPr>
      <w:r>
        <w:t xml:space="preserve">Beyond data and model uncertainty, variability in demographic rates and</w:t>
      </w:r>
      <w:r>
        <w:t xml:space="preserve"> </w:t>
      </w:r>
      <w:r>
        <w:t xml:space="preserve">subsequently in the population growth rate (</w:t>
      </w:r>
      <m:oMath>
        <m:r>
          <m:t>λ</m:t>
        </m:r>
      </m:oMath>
      <w:r>
        <w:t xml:space="preserve">) arises from two</w:t>
      </w:r>
      <w:r>
        <w:t xml:space="preserve"> </w:t>
      </w:r>
      <w:r>
        <w:t xml:space="preserve">primary sources (van Daalen and Caswell</w:t>
      </w:r>
      <w:r>
        <w:t xml:space="preserve"> </w:t>
      </w:r>
      <w:hyperlink w:anchor="ref-van2020">
        <w:r>
          <w:rPr>
            <w:rStyle w:val="Hyperlink"/>
          </w:rPr>
          <w:t xml:space="preserve">2020</w:t>
        </w:r>
      </w:hyperlink>
      <w:r>
        <w:t xml:space="preserve">). The first is attributed to</w:t>
      </w:r>
      <w:r>
        <w:t xml:space="preserve"> </w:t>
      </w:r>
      <w:r>
        <w:t xml:space="preserve">demographic and environmental stochasticity, where individuals exposed</w:t>
      </w:r>
      <w:r>
        <w:t xml:space="preserve"> </w:t>
      </w:r>
      <w:r>
        <w:t xml:space="preserve">to identical conditions may exhibit different responses simply by chance</w:t>
      </w:r>
      <w:r>
        <w:t xml:space="preserve"> </w:t>
      </w:r>
      <w:r>
        <w:t xml:space="preserve">(Caswell</w:t>
      </w:r>
      <w:r>
        <w:t xml:space="preserve"> </w:t>
      </w:r>
      <w:hyperlink w:anchor="ref-Caswell2009">
        <w:r>
          <w:rPr>
            <w:rStyle w:val="Hyperlink"/>
          </w:rPr>
          <w:t xml:space="preserve">2009</w:t>
        </w:r>
      </w:hyperlink>
      <w:r>
        <w:t xml:space="preserve">). The second source</w:t>
      </w:r>
      <w:r>
        <w:t xml:space="preserve"> </w:t>
      </w:r>
      <w:r>
        <w:t xml:space="preserve">of variability arises from heterogeneity encountered at various scales.</w:t>
      </w:r>
      <w:r>
        <w:t xml:space="preserve"> </w:t>
      </w:r>
      <w:r>
        <w:t xml:space="preserve">These differences can manifest between individual stages that motivated</w:t>
      </w:r>
      <w:r>
        <w:t xml:space="preserve"> </w:t>
      </w:r>
      <w:r>
        <w:t xml:space="preserve">the development of structured population models (Lewis</w:t>
      </w:r>
      <w:r>
        <w:t xml:space="preserve"> </w:t>
      </w:r>
      <w:hyperlink w:anchor="ref-Lewis1942">
        <w:r>
          <w:rPr>
            <w:rStyle w:val="Hyperlink"/>
          </w:rPr>
          <w:t xml:space="preserve">1942</w:t>
        </w:r>
      </w:hyperlink>
      <w:r>
        <w:t xml:space="preserve">, Leslie</w:t>
      </w:r>
      <w:r>
        <w:t xml:space="preserve"> </w:t>
      </w:r>
      <w:hyperlink w:anchor="ref-leslie1945">
        <w:r>
          <w:rPr>
            <w:rStyle w:val="Hyperlink"/>
          </w:rPr>
          <w:t xml:space="preserve">1945</w:t>
        </w:r>
      </w:hyperlink>
      <w:r>
        <w:t xml:space="preserve">), and can promote high species</w:t>
      </w:r>
      <w:r>
        <w:t xml:space="preserve"> </w:t>
      </w:r>
      <w:r>
        <w:t xml:space="preserve">diversity in forest trees (Clark</w:t>
      </w:r>
      <w:r>
        <w:t xml:space="preserve"> </w:t>
      </w:r>
      <w:hyperlink w:anchor="ref-Clark2010">
        <w:r>
          <w:rPr>
            <w:rStyle w:val="Hyperlink"/>
          </w:rPr>
          <w:t xml:space="preserve">2010</w:t>
        </w:r>
      </w:hyperlink>
      <w:r>
        <w:t xml:space="preserve">). Another source of</w:t>
      </w:r>
      <w:r>
        <w:t xml:space="preserve"> </w:t>
      </w:r>
      <w:r>
        <w:t xml:space="preserve">heterogeneity arises from large-scale differences in neighboring</w:t>
      </w:r>
      <w:r>
        <w:t xml:space="preserve"> </w:t>
      </w:r>
      <w:r>
        <w:t xml:space="preserve">patches, often described by the metapopulation theory (Levins</w:t>
      </w:r>
      <w:r>
        <w:t xml:space="preserve"> </w:t>
      </w:r>
      <w:hyperlink w:anchor="ref-Levins1969">
        <w:r>
          <w:rPr>
            <w:rStyle w:val="Hyperlink"/>
          </w:rPr>
          <w:t xml:space="preserve">1969</w:t>
        </w:r>
      </w:hyperlink>
      <w:r>
        <w:t xml:space="preserve">). This theory posits that the</w:t>
      </w:r>
      <w:r>
        <w:t xml:space="preserve"> </w:t>
      </w:r>
      <w:r>
        <w:t xml:space="preserve">dynamics of occupied and empty patches in a landscape are driven by</w:t>
      </w:r>
      <w:r>
        <w:t xml:space="preserve"> </w:t>
      </w:r>
      <w:r>
        <w:t xml:space="preserve">colonization and extinction processes. Building on this theory, Talluto</w:t>
      </w:r>
      <w:r>
        <w:t xml:space="preserve"> </w:t>
      </w:r>
      <w:r>
        <w:t xml:space="preserve">et al. (</w:t>
      </w:r>
      <w:hyperlink w:anchor="ref-Talluto2017">
        <w:r>
          <w:rPr>
            <w:rStyle w:val="Hyperlink"/>
          </w:rPr>
          <w:t xml:space="preserve">2017</w:t>
        </w:r>
      </w:hyperlink>
      <w:r>
        <w:t xml:space="preserve">) used patch</w:t>
      </w:r>
      <w:r>
        <w:t xml:space="preserve"> </w:t>
      </w:r>
      <w:r>
        <w:t xml:space="preserve">variability to derive colonization and extinction rates of eastern North</w:t>
      </w:r>
      <w:r>
        <w:t xml:space="preserve"> </w:t>
      </w:r>
      <w:r>
        <w:t xml:space="preserve">American trees, revealing their distribution to be out of equilibrium</w:t>
      </w:r>
      <w:r>
        <w:t xml:space="preserve"> </w:t>
      </w:r>
      <w:r>
        <w:t xml:space="preserve">with climate. Therefore, while this result advances our understanding of</w:t>
      </w:r>
      <w:r>
        <w:t xml:space="preserve"> </w:t>
      </w:r>
      <w:r>
        <w:t xml:space="preserve">the mechanisms governing large-scale tree distributions, there remains a</w:t>
      </w:r>
      <w:r>
        <w:t xml:space="preserve"> </w:t>
      </w:r>
      <w:r>
        <w:t xml:space="preserve">need to reconcile it with local demographic dynamics, given that</w:t>
      </w:r>
      <w:r>
        <w:t xml:space="preserve"> </w:t>
      </w:r>
      <w:r>
        <w:t xml:space="preserve">colonization and extinction processes ultimately manifest from</w:t>
      </w:r>
      <w:r>
        <w:t xml:space="preserve"> </w:t>
      </w:r>
      <w:r>
        <w:t xml:space="preserve">demographic rates.</w:t>
      </w:r>
    </w:p>
    <w:p>
      <w:pPr>
        <w:pStyle w:val="BodyText"/>
      </w:pPr>
      <w:r>
        <w:t xml:space="preserve">Theory predicts that the uncertainty arising from stochastic and</w:t>
      </w:r>
      <w:r>
        <w:t xml:space="preserve"> </w:t>
      </w:r>
      <w:r>
        <w:t xml:space="preserve">heterogenous processes may lead to divergent outcomes in</w:t>
      </w:r>
      <w:r>
        <w:t xml:space="preserve"> </w:t>
      </w:r>
      <m:oMath>
        <m:r>
          <m:t>λ</m:t>
        </m:r>
      </m:oMath>
      <w:r>
        <w:t xml:space="preserve">.</w:t>
      </w:r>
      <w:r>
        <w:t xml:space="preserve"> </w:t>
      </w:r>
      <w:r>
        <w:t xml:space="preserve">Demographic and environmental stochasticity may increase the uncertainty</w:t>
      </w:r>
      <w:r>
        <w:t xml:space="preserve"> </w:t>
      </w:r>
      <w:r>
        <w:t xml:space="preserve">in</w:t>
      </w:r>
      <w:r>
        <w:t xml:space="preserve"> </w:t>
      </w:r>
      <m:oMath>
        <m:r>
          <m:t>λ</m:t>
        </m:r>
      </m:oMath>
      <w:r>
        <w:t xml:space="preserve">, consequently increasing the extinction risk,</w:t>
      </w:r>
      <w:r>
        <w:t xml:space="preserve"> </w:t>
      </w:r>
      <w:r>
        <w:t xml:space="preserve">particularly for populations with low performance or low density (Holt</w:t>
      </w:r>
      <w:r>
        <w:t xml:space="preserve"> </w:t>
      </w:r>
      <w:r>
        <w:t xml:space="preserve">et al.</w:t>
      </w:r>
      <w:r>
        <w:t xml:space="preserve"> </w:t>
      </w:r>
      <w:hyperlink w:anchor="ref-Holt2005">
        <w:r>
          <w:rPr>
            <w:rStyle w:val="Hyperlink"/>
          </w:rPr>
          <w:t xml:space="preserve">2005</w:t>
        </w:r>
      </w:hyperlink>
      <w:r>
        <w:t xml:space="preserve">, Gravel et al.</w:t>
      </w:r>
      <w:r>
        <w:t xml:space="preserve"> </w:t>
      </w:r>
      <w:hyperlink w:anchor="ref-Gravel2011">
        <w:r>
          <w:rPr>
            <w:rStyle w:val="Hyperlink"/>
          </w:rPr>
          <w:t xml:space="preserve">2011</w:t>
        </w:r>
      </w:hyperlink>
      <w:r>
        <w:t xml:space="preserve">). For instance, demographic</w:t>
      </w:r>
      <w:r>
        <w:t xml:space="preserve"> </w:t>
      </w:r>
      <w:r>
        <w:t xml:space="preserve">stochasticity increased the extinction risk of European forest trees at</w:t>
      </w:r>
      <w:r>
        <w:t xml:space="preserve"> </w:t>
      </w:r>
      <w:r>
        <w:t xml:space="preserve">the hot edge of their distribution (Guyennon et al.</w:t>
      </w:r>
      <w:r>
        <w:t xml:space="preserve"> </w:t>
      </w:r>
      <w:hyperlink w:anchor="ref-Guyennon2023">
        <w:r>
          <w:rPr>
            <w:rStyle w:val="Hyperlink"/>
          </w:rPr>
          <w:t xml:space="preserve">2023</w:t>
        </w:r>
      </w:hyperlink>
      <w:r>
        <w:t xml:space="preserve">). On the other hand, spatial</w:t>
      </w:r>
      <w:r>
        <w:t xml:space="preserve"> </w:t>
      </w:r>
      <w:r>
        <w:t xml:space="preserve">heterogeneity has been described as a buffering process against the</w:t>
      </w:r>
      <w:r>
        <w:t xml:space="preserve"> </w:t>
      </w:r>
      <w:r>
        <w:t xml:space="preserve">stochasticity in demographic rates, thereby increasing population</w:t>
      </w:r>
      <w:r>
        <w:t xml:space="preserve"> </w:t>
      </w:r>
      <w:r>
        <w:t xml:space="preserve">persistence (Milles et al.</w:t>
      </w:r>
      <w:r>
        <w:t xml:space="preserve"> </w:t>
      </w:r>
      <w:hyperlink w:anchor="ref-milles2023">
        <w:r>
          <w:rPr>
            <w:rStyle w:val="Hyperlink"/>
          </w:rPr>
          <w:t xml:space="preserve">2023</w:t>
        </w:r>
      </w:hyperlink>
      <w:r>
        <w:t xml:space="preserve">).</w:t>
      </w:r>
      <w:r>
        <w:t xml:space="preserve"> </w:t>
      </w:r>
      <w:r>
        <w:t xml:space="preserve">This is particularly relevant in nonlinear models, where higher</w:t>
      </w:r>
      <w:r>
        <w:t xml:space="preserve"> </w:t>
      </w:r>
      <w:r>
        <w:t xml:space="preserve">demographic and environmental stochasticity can increase the difference</w:t>
      </w:r>
      <w:r>
        <w:t xml:space="preserve"> </w:t>
      </w:r>
      <w:r>
        <w:t xml:space="preserve">in population growth rate compared to the average expectations (Koons et</w:t>
      </w:r>
      <w:r>
        <w:t xml:space="preserve"> </w:t>
      </w:r>
      <w:r>
        <w:t xml:space="preserve">al.</w:t>
      </w:r>
      <w:r>
        <w:t xml:space="preserve"> </w:t>
      </w:r>
      <w:hyperlink w:anchor="ref-Koons2009">
        <w:r>
          <w:rPr>
            <w:rStyle w:val="Hyperlink"/>
          </w:rPr>
          <w:t xml:space="preserve">2009</w:t>
        </w:r>
      </w:hyperlink>
      <w:r>
        <w:t xml:space="preserve">). Furthermore, demographic</w:t>
      </w:r>
      <w:r>
        <w:t xml:space="preserve"> </w:t>
      </w:r>
      <w:r>
        <w:t xml:space="preserve">and environmental stochasticity influence abundance variation,</w:t>
      </w:r>
      <w:r>
        <w:t xml:space="preserve"> </w:t>
      </w:r>
      <w:r>
        <w:t xml:space="preserve">indirectly impacting</w:t>
      </w:r>
      <w:r>
        <w:t xml:space="preserve"> </w:t>
      </w:r>
      <m:oMath>
        <m:r>
          <m:t>λ</m:t>
        </m:r>
      </m:oMath>
      <w:r>
        <w:t xml:space="preserve"> </w:t>
      </w:r>
      <w:r>
        <w:t xml:space="preserve">through density-dependence (May et al.</w:t>
      </w:r>
      <w:r>
        <w:t xml:space="preserve"> </w:t>
      </w:r>
      <w:hyperlink w:anchor="ref-May1978">
        <w:r>
          <w:rPr>
            <w:rStyle w:val="Hyperlink"/>
          </w:rPr>
          <w:t xml:space="preserve">1978</w:t>
        </w:r>
      </w:hyperlink>
      <w:r>
        <w:t xml:space="preserve">, Terry et al.</w:t>
      </w:r>
      <w:r>
        <w:t xml:space="preserve"> </w:t>
      </w:r>
      <w:hyperlink w:anchor="ref-Terry2022">
        <w:r>
          <w:rPr>
            <w:rStyle w:val="Hyperlink"/>
          </w:rPr>
          <w:t xml:space="preserve">2022</w:t>
        </w:r>
      </w:hyperlink>
      <w:r>
        <w:t xml:space="preserve">). A comprehensive understanding</w:t>
      </w:r>
      <w:r>
        <w:t xml:space="preserve"> </w:t>
      </w:r>
      <w:r>
        <w:t xml:space="preserve">of the response of forest trees to climate change requires incorporating</w:t>
      </w:r>
      <w:r>
        <w:t xml:space="preserve"> </w:t>
      </w:r>
      <w:r>
        <w:t xml:space="preserve">the multiple sources of variability arising from spatio-temporal</w:t>
      </w:r>
      <w:r>
        <w:t xml:space="preserve"> </w:t>
      </w:r>
      <w:r>
        <w:t xml:space="preserve">variation and parameter uncertainty.</w:t>
      </w:r>
    </w:p>
    <w:p>
      <w:pPr>
        <w:pStyle w:val="BodyText"/>
      </w:pPr>
      <w:r>
        <w:t xml:space="preserve">Here, we use a stochastic Integral Projection Model (IPM) to predict</w:t>
      </w:r>
      <w:r>
        <w:t xml:space="preserve"> </w:t>
      </w:r>
      <w:r>
        <w:t xml:space="preserve">species-level intrinsic population growth (</w:t>
      </w:r>
      <m:oMath>
        <m:r>
          <m:t>λ</m:t>
        </m:r>
      </m:oMath>
      <w:r>
        <w:t xml:space="preserve">) for 31 eastern</w:t>
      </w:r>
      <w:r>
        <w:t xml:space="preserve"> </w:t>
      </w:r>
      <w:r>
        <w:t xml:space="preserve">North American tree species. The IPM integrates the growth, survival,</w:t>
      </w:r>
      <w:r>
        <w:t xml:space="preserve"> </w:t>
      </w:r>
      <w:r>
        <w:t xml:space="preserve">and recruitment demographic rates, which vary in response to climate and</w:t>
      </w:r>
      <w:r>
        <w:t xml:space="preserve"> </w:t>
      </w:r>
      <w:r>
        <w:t xml:space="preserve">competition. By fitting each demographic rate using non-linear</w:t>
      </w:r>
      <w:r>
        <w:t xml:space="preserve"> </w:t>
      </w:r>
      <w:r>
        <w:t xml:space="preserve">hierarchical Bayesian models, we capture parameter uncertainty at both</w:t>
      </w:r>
      <w:r>
        <w:t xml:space="preserve"> </w:t>
      </w:r>
      <w:r>
        <w:t xml:space="preserve">the individual and local population scales. Additionally, our model</w:t>
      </w:r>
      <w:r>
        <w:t xml:space="preserve"> </w:t>
      </w:r>
      <w:r>
        <w:t xml:space="preserve">naturally accommodates observed spatio-temporal stochasticity in climate</w:t>
      </w:r>
      <w:r>
        <w:t xml:space="preserve"> </w:t>
      </w:r>
      <w:r>
        <w:t xml:space="preserve">and competition. Then, rather than ignoring these sources of</w:t>
      </w:r>
      <w:r>
        <w:t xml:space="preserve"> </w:t>
      </w:r>
      <w:r>
        <w:t xml:space="preserve">variability, we embrace them into</w:t>
      </w:r>
      <w:r>
        <w:t xml:space="preserve"> </w:t>
      </w:r>
      <m:oMath>
        <m:r>
          <m:t>λ</m:t>
        </m:r>
      </m:oMath>
      <w:r>
        <w:t xml:space="preserve"> </w:t>
      </w:r>
      <w:r>
        <w:t xml:space="preserve">by defining species</w:t>
      </w:r>
      <w:r>
        <w:t xml:space="preserve"> </w:t>
      </w:r>
      <w:r>
        <w:t xml:space="preserve">performance through a probabilistic framework. Specifically, we</w:t>
      </w:r>
      <w:r>
        <w:t xml:space="preserve"> </w:t>
      </w:r>
      <w:r>
        <w:t xml:space="preserve">introduce a novel metric called</w:t>
      </w:r>
      <w:r>
        <w:t xml:space="preserve"> </w:t>
      </w:r>
      <w:r>
        <w:rPr>
          <w:b/>
        </w:rPr>
        <w:t xml:space="preserve">local suitable probability</w:t>
      </w:r>
      <w:r>
        <w:t xml:space="preserve">,</w:t>
      </w:r>
      <w:r>
        <w:t xml:space="preserve"> </w:t>
      </w:r>
      <w:r>
        <w:t xml:space="preserve">derived from the average population growth rate and its associated</w:t>
      </w:r>
      <w:r>
        <w:t xml:space="preserve"> </w:t>
      </w:r>
      <w:r>
        <w:t xml:space="preserve">variability. This metric determines the probability of a positive</w:t>
      </w:r>
      <w:r>
        <w:t xml:space="preserve"> </w:t>
      </w:r>
      <w:r>
        <w:t xml:space="preserve">population growth rate for a species under specific climate and</w:t>
      </w:r>
      <w:r>
        <w:t xml:space="preserve"> </w:t>
      </w:r>
      <w:r>
        <w:t xml:space="preserve">competition conditions.</w:t>
      </w:r>
    </w:p>
    <w:p>
      <w:pPr>
        <w:pStyle w:val="BodyText"/>
      </w:pPr>
      <w:r>
        <w:t xml:space="preserve">In our analysis, we first used the IPM to predict species-specific</w:t>
      </w:r>
      <w:r>
        <w:t xml:space="preserve"> </w:t>
      </w:r>
      <m:oMath>
        <m:r>
          <m:t>λ</m:t>
        </m:r>
      </m:oMath>
      <w:r>
        <w:t xml:space="preserve"> </w:t>
      </w:r>
      <w:r>
        <w:t xml:space="preserve">at the plot level under two conditions: without (fundamental</w:t>
      </w:r>
      <w:r>
        <w:t xml:space="preserve"> </w:t>
      </w:r>
      <w:r>
        <w:t xml:space="preserve">niche) and with (realized niche) heterospecific competition. We</w:t>
      </w:r>
      <w:r>
        <w:t xml:space="preserve"> </w:t>
      </w:r>
      <w:r>
        <w:t xml:space="preserve">replicated this calculation 100 times across all observed plots from the</w:t>
      </w:r>
      <w:r>
        <w:t xml:space="preserve"> </w:t>
      </w:r>
      <w:r>
        <w:t xml:space="preserve">same species to assess the variability of</w:t>
      </w:r>
      <w:r>
        <w:t xml:space="preserve"> </w:t>
      </w:r>
      <m:oMath>
        <m:r>
          <m:t>λ</m:t>
        </m:r>
      </m:oMath>
      <w:r>
        <w:t xml:space="preserve"> </w:t>
      </w:r>
      <w:r>
        <w:t xml:space="preserve">arising from both</w:t>
      </w:r>
      <w:r>
        <w:t xml:space="preserve"> </w:t>
      </w:r>
      <w:r>
        <w:t xml:space="preserve">spatio-temporal stochasticity in the climate and competition and model</w:t>
      </w:r>
      <w:r>
        <w:t xml:space="preserve"> </w:t>
      </w:r>
      <w:r>
        <w:t xml:space="preserve">uncertainty. As this variable</w:t>
      </w:r>
      <w:r>
        <w:t xml:space="preserve"> </w:t>
      </w:r>
      <m:oMath>
        <m:r>
          <m:t>λ</m:t>
        </m:r>
      </m:oMath>
      <w:r>
        <w:t xml:space="preserve"> </w:t>
      </w:r>
      <w:r>
        <w:t xml:space="preserve">changes across space, we used</w:t>
      </w:r>
      <w:r>
        <w:t xml:space="preserve"> </w:t>
      </w:r>
      <w:r>
        <w:t xml:space="preserve">these observations to model how the species’ local suitable probability</w:t>
      </w:r>
      <w:r>
        <w:t xml:space="preserve"> </w:t>
      </w:r>
      <w:r>
        <w:t xml:space="preserve">changes across the mean annual temperature. Specifically, we ask how</w:t>
      </w:r>
      <w:r>
        <w:t xml:space="preserve"> </w:t>
      </w:r>
      <w:r>
        <w:t xml:space="preserve">climate and competition affect each species’ local suitable probability.</w:t>
      </w:r>
      <w:r>
        <w:t xml:space="preserve"> </w:t>
      </w:r>
      <w:r>
        <w:t xml:space="preserve">Then, we investigated how a species’ local suitable probability changes</w:t>
      </w:r>
      <w:r>
        <w:t xml:space="preserve"> </w:t>
      </w:r>
      <w:r>
        <w:t xml:space="preserve">from the center of its distribution toward the cold and hot borders.</w:t>
      </w:r>
      <w:r>
        <w:t xml:space="preserve"> </w:t>
      </w:r>
      <w:r>
        <w:t xml:space="preserve">Finally, we disentangle the relative impacts of climate and competition</w:t>
      </w:r>
      <w:r>
        <w:t xml:space="preserve"> </w:t>
      </w:r>
      <w:r>
        <w:t xml:space="preserve">in changing suitable probability from the center to the borders. We</w:t>
      </w:r>
      <w:r>
        <w:t xml:space="preserve"> </w:t>
      </w:r>
      <w:r>
        <w:t xml:space="preserve">conclude by discussing a novel theory that uses the local suitable</w:t>
      </w:r>
      <w:r>
        <w:t xml:space="preserve"> </w:t>
      </w:r>
      <w:r>
        <w:t xml:space="preserve">probability to establish a link between individual demographic rates and</w:t>
      </w:r>
      <w:r>
        <w:t xml:space="preserve"> </w:t>
      </w:r>
      <w:r>
        <w:t xml:space="preserve">metapopulation dynamics.</w:t>
      </w:r>
    </w:p>
    <w:bookmarkEnd w:id="22"/>
    <w:bookmarkStart w:id="29" w:name="methods"/>
    <w:p>
      <w:pPr>
        <w:pStyle w:val="Heading1"/>
      </w:pPr>
      <w:r>
        <w:t xml:space="preserve">Methods</w:t>
      </w:r>
    </w:p>
    <w:bookmarkStart w:id="23" w:name="Xfd5602333956df4bce4e920eacc053b57817c95"/>
    <w:p>
      <w:pPr>
        <w:pStyle w:val="Heading2"/>
      </w:pPr>
      <w:r>
        <w:t xml:space="preserve">Population model, demographic components, and uncertainty</w:t>
      </w:r>
      <w:r>
        <w:t xml:space="preserve"> </w:t>
      </w:r>
      <w:r>
        <w:t xml:space="preserve">structure</w:t>
      </w:r>
    </w:p>
    <w:bookmarkEnd w:id="23"/>
    <w:p>
      <w:pPr>
        <w:pStyle w:val="FirstParagraph"/>
      </w:pPr>
      <w:r>
        <w:t xml:space="preserve">We use an Integral Projection Model (IPM) to predict the intrinsic</w:t>
      </w:r>
      <w:r>
        <w:t xml:space="preserve"> </w:t>
      </w:r>
      <w:r>
        <w:t xml:space="preserve">population growth rate (</w:t>
      </w:r>
      <m:oMath>
        <m:r>
          <m:t>λ</m:t>
        </m:r>
      </m:oMath>
      <w:r>
        <w:t xml:space="preserve">) as a function of climate and</w:t>
      </w:r>
      <w:r>
        <w:t xml:space="preserve"> </w:t>
      </w:r>
      <w:r>
        <w:t xml:space="preserve">competition. An IPM is a powerful modeling approach that allows a full</w:t>
      </w:r>
      <w:r>
        <w:t xml:space="preserve"> </w:t>
      </w:r>
      <w:r>
        <w:t xml:space="preserve">representation of all sources of variability in demography. The IPM</w:t>
      </w:r>
      <w:r>
        <w:t xml:space="preserve"> </w:t>
      </w:r>
      <w:r>
        <w:t xml:space="preserve">serves as a mathematical formulation describing the dynamics of a</w:t>
      </w:r>
      <w:r>
        <w:t xml:space="preserve"> </w:t>
      </w:r>
      <w:r>
        <w:t xml:space="preserve">continuous trait distribution (</w:t>
      </w:r>
      <m:oMath>
        <m:r>
          <m:t>z</m:t>
        </m:r>
      </m:oMath>
      <w:r>
        <w:t xml:space="preserve">) within a population over discrete</w:t>
      </w:r>
      <w:r>
        <w:t xml:space="preserve"> </w:t>
      </w:r>
      <w:r>
        <w:t xml:space="preserve">time steps:</w:t>
      </w:r>
    </w:p>
    <w:p>
      <w:pPr>
        <w:pStyle w:val="BodyText"/>
      </w:pPr>
      <m:oMathPara>
        <m:oMathParaPr>
          <m:jc m:val="center"/>
        </m:oMathParaPr>
        <m:oMath>
          <m:r>
            <m:t>n</m:t>
          </m:r>
          <m:r>
            <m:t>(</m:t>
          </m:r>
          <m:r>
            <m:t>z</m:t>
          </m:r>
          <m:r>
            <m:t>′</m:t>
          </m:r>
          <m:r>
            <m:t>,</m:t>
          </m:r>
          <m:r>
            <m:t>t</m:t>
          </m:r>
          <m:r>
            <m:t>+</m:t>
          </m:r>
          <m:r>
            <m:t>1</m:t>
          </m:r>
          <m:r>
            <m:t>)</m:t>
          </m:r>
          <m:r>
            <m:t>=</m:t>
          </m:r>
          <m:nary>
            <m:naryPr>
              <m:chr m:val="∫"/>
              <m:limLoc m:val="subSup"/>
              <m:subHide m:val="0"/>
              <m:supHide m:val="0"/>
            </m:naryPr>
            <m:sub>
              <m:r>
                <m:t>L</m:t>
              </m:r>
            </m:sub>
            <m:sup>
              <m:r>
                <m:t>U</m:t>
              </m:r>
            </m:sup>
            <m:e>
              <m:r>
                <m:t> </m:t>
              </m:r>
            </m:e>
          </m:nary>
          <m:r>
            <m:t>K</m:t>
          </m:r>
          <m:r>
            <m:t>(</m:t>
          </m:r>
          <m:r>
            <m:t>z</m:t>
          </m:r>
          <m:r>
            <m:t>′</m:t>
          </m:r>
          <m:r>
            <m:t>,</m:t>
          </m:r>
          <m:r>
            <m:t>z</m:t>
          </m:r>
          <m:r>
            <m:t>,</m:t>
          </m:r>
          <m:r>
            <m:t>X</m:t>
          </m:r>
          <m:r>
            <m:t>,</m:t>
          </m:r>
          <m:r>
            <m:t>θ</m:t>
          </m:r>
          <m:r>
            <m:t>)</m:t>
          </m:r>
          <m:r>
            <m:t> </m:t>
          </m:r>
          <m:r>
            <m:t>n</m:t>
          </m:r>
          <m:r>
            <m:t>(</m:t>
          </m:r>
          <m:r>
            <m:t>z</m:t>
          </m:r>
          <m:r>
            <m:t>,</m:t>
          </m:r>
          <m:r>
            <m:t>t</m:t>
          </m:r>
          <m:r>
            <m:t>)</m:t>
          </m:r>
          <m:r>
            <m:t> </m:t>
          </m:r>
          <m:r>
            <m:rPr>
              <m:sty m:val="p"/>
            </m:rPr>
            <m:t>d</m:t>
          </m:r>
          <m:r>
            <m:t>z</m:t>
          </m:r>
        </m:oMath>
      </m:oMathPara>
    </w:p>
    <w:p>
      <w:pPr>
        <w:pStyle w:val="FirstParagraph"/>
      </w:pPr>
      <w:r>
        <w:t xml:space="preserve">In our case, the trait</w:t>
      </w:r>
      <w:r>
        <w:t xml:space="preserve"> </w:t>
      </w:r>
      <m:oMath>
        <m:r>
          <m:t>z</m:t>
        </m:r>
      </m:oMath>
      <w:r>
        <w:t xml:space="preserve"> </w:t>
      </w:r>
      <w:r>
        <w:t xml:space="preserve">is defined as the tree’s diameter at breast</w:t>
      </w:r>
      <w:r>
        <w:t xml:space="preserve"> </w:t>
      </w:r>
      <w:r>
        <w:t xml:space="preserve">height (dbh), constrained between the limits</w:t>
      </w:r>
      <w:r>
        <w:t xml:space="preserve"> </w:t>
      </w:r>
      <m:oMath>
        <m:r>
          <m:t>L</m:t>
        </m:r>
      </m:oMath>
      <w:r>
        <w:t xml:space="preserve"> </w:t>
      </w:r>
      <w:r>
        <w:t xml:space="preserve">and</w:t>
      </w:r>
      <w:r>
        <w:t xml:space="preserve"> </w:t>
      </w:r>
      <m:oMath>
        <m:r>
          <m:t>U</m:t>
        </m:r>
      </m:oMath>
      <w:r>
        <w:t xml:space="preserve">. The</w:t>
      </w:r>
      <w:r>
        <w:t xml:space="preserve"> </w:t>
      </w:r>
      <w:r>
        <w:t xml:space="preserve">continuous distribution</w:t>
      </w:r>
      <w:r>
        <w:t xml:space="preserve"> </w:t>
      </w:r>
      <m:oMath>
        <m:r>
          <m:t>n</m:t>
        </m:r>
        <m:r>
          <m:t>(</m:t>
        </m:r>
        <m:r>
          <m:t>⋅</m:t>
        </m:r>
        <m:r>
          <m:t>)</m:t>
        </m:r>
      </m:oMath>
      <w:r>
        <w:t xml:space="preserve"> </w:t>
      </w:r>
      <w:r>
        <w:t xml:space="preserve">of dbh</w:t>
      </w:r>
      <w:r>
        <w:t xml:space="preserve"> </w:t>
      </w:r>
      <m:oMath>
        <m:r>
          <m:t>z</m:t>
        </m:r>
      </m:oMath>
      <w:r>
        <w:t xml:space="preserve"> </w:t>
      </w:r>
      <w:r>
        <w:t xml:space="preserve">of a population at</w:t>
      </w:r>
      <w:r>
        <w:t xml:space="preserve"> </w:t>
      </w:r>
      <w:r>
        <w:t xml:space="preserve">time</w:t>
      </w:r>
      <w:r>
        <w:t xml:space="preserve"> </w:t>
      </w:r>
      <m:oMath>
        <m:r>
          <m:t>t</m:t>
        </m:r>
      </m:oMath>
      <w:r>
        <w:t xml:space="preserve"> </w:t>
      </w:r>
      <w:r>
        <w:t xml:space="preserve">transitions to the next time step using a projection kernel</w:t>
      </w:r>
      <w:r>
        <w:t xml:space="preserve"> </w:t>
      </w:r>
      <w:r>
        <w:t xml:space="preserve">(</w:t>
      </w:r>
      <m:oMath>
        <m:r>
          <m:t>K</m:t>
        </m:r>
      </m:oMath>
      <w:r>
        <w:t xml:space="preserve">). The kernel</w:t>
      </w:r>
      <w:r>
        <w:t xml:space="preserve"> </w:t>
      </w:r>
      <m:oMath>
        <m:r>
          <m:t>K</m:t>
        </m:r>
      </m:oMath>
      <w:r>
        <w:t xml:space="preserve">, with parameters</w:t>
      </w:r>
      <w:r>
        <w:t xml:space="preserve"> </w:t>
      </w:r>
      <m:oMath>
        <m:r>
          <m:t>θ</m:t>
        </m:r>
      </m:oMath>
      <w:r>
        <w:t xml:space="preserve"> </w:t>
      </w:r>
      <w:r>
        <w:t xml:space="preserve">and covariates</w:t>
      </w:r>
      <w:r>
        <w:t xml:space="preserve"> </w:t>
      </w:r>
      <m:oMath>
        <m:r>
          <m:t>X</m:t>
        </m:r>
      </m:oMath>
      <w:r>
        <w:t xml:space="preserve"> </w:t>
      </w:r>
      <w:r>
        <w:t xml:space="preserve">that are time dependent, comprises three demographic submodels:</w:t>
      </w:r>
    </w:p>
    <w:p>
      <w:pPr>
        <w:pStyle w:val="BodyText"/>
      </w:pPr>
      <m:oMathPara>
        <m:oMathParaPr>
          <m:jc m:val="center"/>
        </m:oMathParaPr>
        <m:oMath>
          <m:r>
            <m:t>K</m:t>
          </m:r>
          <m:r>
            <m:t>(</m:t>
          </m:r>
          <m:r>
            <m:t>z</m:t>
          </m:r>
          <m:r>
            <m:t>′</m:t>
          </m:r>
          <m:r>
            <m:t>,</m:t>
          </m:r>
          <m:r>
            <m:t>z</m:t>
          </m:r>
          <m:r>
            <m:t>,</m:t>
          </m:r>
          <m:r>
            <m:t>θ</m:t>
          </m:r>
          <m:r>
            <m:t>)</m:t>
          </m:r>
          <m:r>
            <m:t>=</m:t>
          </m:r>
          <m:r>
            <m:t>[</m:t>
          </m:r>
          <m:r>
            <m:t>G</m:t>
          </m:r>
          <m:r>
            <m:t>r</m:t>
          </m:r>
          <m:r>
            <m:t>o</m:t>
          </m:r>
          <m:r>
            <m:t>w</m:t>
          </m:r>
          <m:r>
            <m:t>t</m:t>
          </m:r>
          <m:r>
            <m:t>h</m:t>
          </m:r>
          <m:r>
            <m:t>(</m:t>
          </m:r>
          <m:r>
            <m:t>z</m:t>
          </m:r>
          <m:r>
            <m:t>′</m:t>
          </m:r>
          <m:r>
            <m:t>,</m:t>
          </m:r>
          <m:r>
            <m:t>z</m:t>
          </m:r>
          <m:r>
            <m:t>,</m:t>
          </m:r>
          <m:r>
            <m:t>X</m:t>
          </m:r>
          <m:r>
            <m:t>,</m:t>
          </m:r>
          <m:r>
            <m:t>θ</m:t>
          </m:r>
          <m:r>
            <m:t>)</m:t>
          </m:r>
          <m:r>
            <m:t>×</m:t>
          </m:r>
          <m:r>
            <m:t>S</m:t>
          </m:r>
          <m:r>
            <m:t>u</m:t>
          </m:r>
          <m:r>
            <m:t>r</m:t>
          </m:r>
          <m:r>
            <m:t>v</m:t>
          </m:r>
          <m:r>
            <m:t>i</m:t>
          </m:r>
          <m:r>
            <m:t>v</m:t>
          </m:r>
          <m:r>
            <m:t>a</m:t>
          </m:r>
          <m:r>
            <m:t>l</m:t>
          </m:r>
          <m:r>
            <m:t>(</m:t>
          </m:r>
          <m:r>
            <m:t>z</m:t>
          </m:r>
          <m:r>
            <m:t>,</m:t>
          </m:r>
          <m:r>
            <m:t>X</m:t>
          </m:r>
          <m:r>
            <m:t>,</m:t>
          </m:r>
          <m:r>
            <m:t>θ</m:t>
          </m:r>
          <m:r>
            <m:t>)</m:t>
          </m:r>
          <m:r>
            <m:t>]</m:t>
          </m:r>
          <m:r>
            <m:t>+</m:t>
          </m:r>
          <m:r>
            <m:t>R</m:t>
          </m:r>
          <m:r>
            <m:t>e</m:t>
          </m:r>
          <m:r>
            <m:t>c</m:t>
          </m:r>
          <m:r>
            <m:t>r</m:t>
          </m:r>
          <m:r>
            <m:t>u</m:t>
          </m:r>
          <m:r>
            <m:t>i</m:t>
          </m:r>
          <m:r>
            <m:t>t</m:t>
          </m:r>
          <m:r>
            <m:t>m</m:t>
          </m:r>
          <m:r>
            <m:t>e</m:t>
          </m:r>
          <m:r>
            <m:t>n</m:t>
          </m:r>
          <m:r>
            <m:t>t</m:t>
          </m:r>
          <m:r>
            <m:t>(</m:t>
          </m:r>
          <m:r>
            <m:t>z</m:t>
          </m:r>
          <m:r>
            <m:t>,</m:t>
          </m:r>
          <m:r>
            <m:t>X</m:t>
          </m:r>
          <m:r>
            <m:t>,</m:t>
          </m:r>
          <m:r>
            <m:t>θ</m:t>
          </m:r>
          <m:r>
            <m:t>)</m:t>
          </m:r>
        </m:oMath>
      </m:oMathPara>
    </w:p>
    <w:p>
      <w:pPr>
        <w:pStyle w:val="FirstParagraph"/>
      </w:pPr>
      <w:r>
        <w:t xml:space="preserve">The growth model assesses the probability of an individual of size</w:t>
      </w:r>
      <w:r>
        <w:t xml:space="preserve"> </w:t>
      </w:r>
      <m:oMath>
        <m:r>
          <m:t>z</m:t>
        </m:r>
      </m:oMath>
      <w:r>
        <w:t xml:space="preserve"> </w:t>
      </w:r>
      <w:r>
        <w:t xml:space="preserve">at time</w:t>
      </w:r>
      <w:r>
        <w:t xml:space="preserve"> </w:t>
      </w:r>
      <m:oMath>
        <m:r>
          <m:t>t</m:t>
        </m:r>
      </m:oMath>
      <w:r>
        <w:t xml:space="preserve"> </w:t>
      </w:r>
      <w:r>
        <w:t xml:space="preserve">transitioning to size</w:t>
      </w:r>
      <w:r>
        <w:t xml:space="preserve"> </w:t>
      </w:r>
      <m:oMath>
        <m:r>
          <m:t>z</m:t>
        </m:r>
        <m:r>
          <m:t>′</m:t>
        </m:r>
      </m:oMath>
      <w:r>
        <w:t xml:space="preserve"> </w:t>
      </w:r>
      <w:r>
        <w:t xml:space="preserve">at time</w:t>
      </w:r>
      <w:r>
        <w:t xml:space="preserve"> </w:t>
      </w:r>
      <m:oMath>
        <m:r>
          <m:t>t</m:t>
        </m:r>
        <m:r>
          <m:t>+</m:t>
        </m:r>
        <m:r>
          <m:t>1</m:t>
        </m:r>
      </m:oMath>
      <w:r>
        <w:t xml:space="preserve">. The survival</w:t>
      </w:r>
      <w:r>
        <w:t xml:space="preserve"> </w:t>
      </w:r>
      <w:r>
        <w:t xml:space="preserve">model determines the probability of an individual with size</w:t>
      </w:r>
      <w:r>
        <w:t xml:space="preserve"> </w:t>
      </w:r>
      <m:oMath>
        <m:r>
          <m:t>z</m:t>
        </m:r>
      </m:oMath>
      <w:r>
        <w:t xml:space="preserve"> </w:t>
      </w:r>
      <w:r>
        <w:t xml:space="preserve">at</w:t>
      </w:r>
      <w:r>
        <w:t xml:space="preserve"> </w:t>
      </w:r>
      <w:r>
        <w:t xml:space="preserve">time</w:t>
      </w:r>
      <w:r>
        <w:t xml:space="preserve"> </w:t>
      </w:r>
      <m:oMath>
        <m:r>
          <m:t>t</m:t>
        </m:r>
      </m:oMath>
      <w:r>
        <w:t xml:space="preserve"> </w:t>
      </w:r>
      <w:r>
        <w:t xml:space="preserve">surviving to the next time step. Lastly, the recruitment</w:t>
      </w:r>
      <w:r>
        <w:t xml:space="preserve"> </w:t>
      </w:r>
      <w:r>
        <w:t xml:space="preserve">model determines the number of new individuals entering the population</w:t>
      </w:r>
      <w:r>
        <w:t xml:space="preserve"> </w:t>
      </w:r>
      <w:r>
        <w:t xml:space="preserve">at each time step as a function of total density</w:t>
      </w:r>
      <w:r>
        <w:t xml:space="preserve"> </w:t>
      </w:r>
      <m:oMath>
        <m:r>
          <m:t>z</m:t>
        </m:r>
      </m:oMath>
      <w:r>
        <w:t xml:space="preserve">. The kernel</w:t>
      </w:r>
      <w:r>
        <w:t xml:space="preserve"> </w:t>
      </w:r>
      <m:oMath>
        <m:r>
          <m:t>K</m:t>
        </m:r>
      </m:oMath>
      <w:r>
        <w:t xml:space="preserve"> </w:t>
      </w:r>
      <w:r>
        <w:t xml:space="preserve">has the same function of the population growth rate</w:t>
      </w:r>
      <w:r>
        <w:t xml:space="preserve"> </w:t>
      </w:r>
      <m:oMath>
        <m:r>
          <m:t>r</m:t>
        </m:r>
      </m:oMath>
      <w:r>
        <w:t xml:space="preserve"> </w:t>
      </w:r>
      <w:r>
        <w:t xml:space="preserve">in a</w:t>
      </w:r>
      <w:r>
        <w:t xml:space="preserve"> </w:t>
      </w:r>
      <w:r>
        <w:t xml:space="preserve">population model, where multiplying the population distribution</w:t>
      </w:r>
      <w:r>
        <w:t xml:space="preserve"> </w:t>
      </w:r>
      <m:oMath>
        <m:r>
          <m:t>n</m:t>
        </m:r>
        <m:r>
          <m:t>(</m:t>
        </m:r>
        <m:r>
          <m:t>z</m:t>
        </m:r>
        <m:r>
          <m:t>,</m:t>
        </m:r>
        <m:r>
          <m:t>t</m:t>
        </m:r>
        <m:r>
          <m:t>)</m:t>
        </m:r>
      </m:oMath>
      <w:r>
        <w:t xml:space="preserve"> </w:t>
      </w:r>
      <w:r>
        <w:t xml:space="preserve">with</w:t>
      </w:r>
      <w:r>
        <w:t xml:space="preserve"> </w:t>
      </w:r>
      <m:oMath>
        <m:r>
          <m:t>K</m:t>
        </m:r>
      </m:oMath>
      <w:r>
        <w:t xml:space="preserve"> </w:t>
      </w:r>
      <w:r>
        <w:t xml:space="preserve">gives the population distribution at the next</w:t>
      </w:r>
      <w:r>
        <w:t xml:space="preserve"> </w:t>
      </w:r>
      <w:r>
        <w:t xml:space="preserve">time step</w:t>
      </w:r>
      <w:r>
        <w:t xml:space="preserve"> </w:t>
      </w:r>
      <m:oMath>
        <m:r>
          <m:t>n</m:t>
        </m:r>
        <m:r>
          <m:t>(</m:t>
        </m:r>
        <m:r>
          <m:t>z</m:t>
        </m:r>
        <m:r>
          <m:t>′</m:t>
        </m:r>
        <m:r>
          <m:t>,</m:t>
        </m:r>
        <m:r>
          <m:t>t</m:t>
        </m:r>
        <m:r>
          <m:t>+</m:t>
        </m:r>
        <m:r>
          <m:t>1</m:t>
        </m:r>
        <m:r>
          <m:t>)</m:t>
        </m:r>
      </m:oMath>
      <w:r>
        <w:t xml:space="preserve">. Its advantage in propagating uncertainty is</w:t>
      </w:r>
      <w:r>
        <w:t xml:space="preserve"> </w:t>
      </w:r>
      <w:r>
        <w:t xml:space="preserve">that, instead of having a matrix with fixed parameters determining the</w:t>
      </w:r>
      <w:r>
        <w:t xml:space="preserve"> </w:t>
      </w:r>
      <w:r>
        <w:t xml:space="preserve">transition rate of population individuals over time, it uses a</w:t>
      </w:r>
      <w:r>
        <w:t xml:space="preserve"> </w:t>
      </w:r>
      <w:r>
        <w:t xml:space="preserve">probability distribution with uncertainty derived from the demographic</w:t>
      </w:r>
      <w:r>
        <w:t xml:space="preserve"> </w:t>
      </w:r>
      <w:r>
        <w:t xml:space="preserve">models to project individuals over time.</w:t>
      </w:r>
    </w:p>
    <w:p>
      <w:pPr>
        <w:pStyle w:val="BodyText"/>
      </w:pPr>
      <w:r>
        <w:t xml:space="preserve">With the defined</w:t>
      </w:r>
      <w:r>
        <w:t xml:space="preserve"> </w:t>
      </w:r>
      <m:oMath>
        <m:r>
          <m:t>K</m:t>
        </m:r>
      </m:oMath>
      <w:r>
        <w:t xml:space="preserve">, we can estimate the intrinsic population growth</w:t>
      </w:r>
      <w:r>
        <w:t xml:space="preserve"> </w:t>
      </w:r>
      <w:r>
        <w:t xml:space="preserve">rate for a determined set of conditions from the covariates</w:t>
      </w:r>
      <w:r>
        <w:t xml:space="preserve"> </w:t>
      </w:r>
      <m:oMath>
        <m:r>
          <m:t>X</m:t>
        </m:r>
      </m:oMath>
      <w:r>
        <w:t xml:space="preserve"> </w:t>
      </w:r>
      <w:r>
        <w:t xml:space="preserve">and</w:t>
      </w:r>
      <w:r>
        <w:t xml:space="preserve"> </w:t>
      </w:r>
      <w:r>
        <w:t xml:space="preserve">sampled parameters from the posterior distribution</w:t>
      </w:r>
      <w:r>
        <w:t xml:space="preserve"> </w:t>
      </w:r>
      <m:oMath>
        <m:r>
          <m:t>θ</m:t>
        </m:r>
      </m:oMath>
      <w:r>
        <w:t xml:space="preserve">.</w:t>
      </w:r>
      <w:r>
        <w:t xml:space="preserve"> </w:t>
      </w:r>
      <w:r>
        <w:t xml:space="preserve">Specifically, we discretize the continuous kernel</w:t>
      </w:r>
      <w:r>
        <w:t xml:space="preserve"> </w:t>
      </w:r>
      <m:oMath>
        <m:r>
          <m:t>K</m:t>
        </m:r>
      </m:oMath>
      <w:r>
        <w:t xml:space="preserve"> </w:t>
      </w:r>
      <w:r>
        <w:t xml:space="preserve">using the</w:t>
      </w:r>
      <w:r>
        <w:t xml:space="preserve"> </w:t>
      </w:r>
      <w:r>
        <w:t xml:space="preserve">mid-point rule (Ellner et al.</w:t>
      </w:r>
      <w:r>
        <w:t xml:space="preserve"> </w:t>
      </w:r>
      <w:hyperlink w:anchor="ref-Ellner2016">
        <w:r>
          <w:rPr>
            <w:rStyle w:val="Hyperlink"/>
          </w:rPr>
          <w:t xml:space="preserve">2016</w:t>
        </w:r>
      </w:hyperlink>
      <w:r>
        <w:t xml:space="preserve">)</w:t>
      </w:r>
      <w:r>
        <w:t xml:space="preserve"> </w:t>
      </w:r>
      <w:r>
        <w:t xml:space="preserve">and estimate the intrinsic population growth rate using the dominant</w:t>
      </w:r>
      <w:r>
        <w:t xml:space="preserve"> </w:t>
      </w:r>
      <w:r>
        <w:t xml:space="preserve">eigenvalue of the discretized</w:t>
      </w:r>
      <w:r>
        <w:t xml:space="preserve"> </w:t>
      </w:r>
      <m:oMath>
        <m:r>
          <m:t>K</m:t>
        </m:r>
      </m:oMath>
      <w:r>
        <w:t xml:space="preserve">. This approach is a local</w:t>
      </w:r>
      <w:r>
        <w:t xml:space="preserve"> </w:t>
      </w:r>
      <w:r>
        <w:t xml:space="preserve">approximation of the population growth rate at the initial time steps.</w:t>
      </w:r>
    </w:p>
    <w:p>
      <w:pPr>
        <w:pStyle w:val="BodyText"/>
      </w:pPr>
      <w:r>
        <w:t xml:space="preserve">A detailed description of the data and model development is available in</w:t>
      </w:r>
      <w:r>
        <w:t xml:space="preserve"> </w:t>
      </w:r>
      <w:r>
        <w:t xml:space="preserve">Chapter 2. In summary, we evaluated non-linear statistical models to</w:t>
      </w:r>
      <w:r>
        <w:t xml:space="preserve"> </w:t>
      </w:r>
      <w:r>
        <w:t xml:space="preserve">formulate the growth, survival, and recruitment components of the IPM,</w:t>
      </w:r>
      <w:r>
        <w:t xml:space="preserve"> </w:t>
      </w:r>
      <w:r>
        <w:t xml:space="preserve">along with their uncertainty. Each demographic sub-model varies as a</w:t>
      </w:r>
      <w:r>
        <w:t xml:space="preserve"> </w:t>
      </w:r>
      <w:r>
        <w:t xml:space="preserve">function of the mean annual temperature, mean annual precipitation, and</w:t>
      </w:r>
      <w:r>
        <w:t xml:space="preserve"> </w:t>
      </w:r>
      <w:r>
        <w:t xml:space="preserve">stand basal area of larger individuals. Each model’s parameters</w:t>
      </w:r>
      <w:r>
        <w:t xml:space="preserve"> </w:t>
      </w:r>
      <w:r>
        <w:t xml:space="preserve">(</w:t>
      </w:r>
      <m:oMath>
        <m:r>
          <m:t>θ</m:t>
        </m:r>
      </m:oMath>
      <w:r>
        <w:t xml:space="preserve">) are species-specific, as each model is fitted separately</w:t>
      </w:r>
      <w:r>
        <w:t xml:space="preserve"> </w:t>
      </w:r>
      <w:r>
        <w:t xml:space="preserve">for each species. Both climate variables influence each demographic</w:t>
      </w:r>
      <w:r>
        <w:t xml:space="preserve"> </w:t>
      </w:r>
      <w:r>
        <w:t xml:space="preserve">model through an unimodal link function, where each model exhibits an</w:t>
      </w:r>
      <w:r>
        <w:t xml:space="preserve"> </w:t>
      </w:r>
      <w:r>
        <w:t xml:space="preserve">optimal climate and niche breadth for temperature and precipitation.</w:t>
      </w:r>
      <w:r>
        <w:t xml:space="preserve"> </w:t>
      </w:r>
      <w:r>
        <w:t xml:space="preserve">Additionally, density dependence is integrated based on the plot’s total</w:t>
      </w:r>
      <w:r>
        <w:t xml:space="preserve"> </w:t>
      </w:r>
      <w:r>
        <w:t xml:space="preserve">basal area of larger individuals. Stand density affects growth and</w:t>
      </w:r>
      <w:r>
        <w:t xml:space="preserve"> </w:t>
      </w:r>
      <w:r>
        <w:t xml:space="preserve">survival through a linear model, in which two parameters determine the</w:t>
      </w:r>
      <w:r>
        <w:t xml:space="preserve"> </w:t>
      </w:r>
      <w:r>
        <w:t xml:space="preserve">strength of interaction from conspecific and heterospecific (all species</w:t>
      </w:r>
      <w:r>
        <w:t xml:space="preserve"> </w:t>
      </w:r>
      <w:r>
        <w:t xml:space="preserve">combined) competition. For the recruitment model, the annual ingrowth</w:t>
      </w:r>
      <w:r>
        <w:t xml:space="preserve"> </w:t>
      </w:r>
      <w:r>
        <w:t xml:space="preserve">rate is modulated by conspecific stand basal area, using an unimodal</w:t>
      </w:r>
      <w:r>
        <w:t xml:space="preserve"> </w:t>
      </w:r>
      <w:r>
        <w:t xml:space="preserve">function to account for both the positive effect of seed source and the</w:t>
      </w:r>
      <w:r>
        <w:t xml:space="preserve"> </w:t>
      </w:r>
      <w:r>
        <w:t xml:space="preserve">negative effect of conspecific competition. Furthermore, the annual</w:t>
      </w:r>
      <w:r>
        <w:t xml:space="preserve"> </w:t>
      </w:r>
      <w:r>
        <w:t xml:space="preserve">survival rate of potential ingrowth individuals decreases linearly with</w:t>
      </w:r>
      <w:r>
        <w:t xml:space="preserve"> </w:t>
      </w:r>
      <w:r>
        <w:t xml:space="preserve">the stand density of heterospecific individuals. Finally, the intercept</w:t>
      </w:r>
      <w:r>
        <w:t xml:space="preserve"> </w:t>
      </w:r>
      <w:r>
        <w:t xml:space="preserve">of each growth, survival, and recruitment model incorporates plot-level</w:t>
      </w:r>
      <w:r>
        <w:t xml:space="preserve"> </w:t>
      </w:r>
      <w:r>
        <w:t xml:space="preserve">random effects to control for the variance shared within the plot-year</w:t>
      </w:r>
      <w:r>
        <w:t xml:space="preserve"> </w:t>
      </w:r>
      <w:r>
        <w:t xml:space="preserve">observations.</w:t>
      </w:r>
    </w:p>
    <w:p>
      <w:pPr>
        <w:pStyle w:val="BodyText"/>
      </w:pPr>
      <w:r>
        <w:t xml:space="preserve">We use two open inventory datasets from eastern North America: the</w:t>
      </w:r>
      <w:r>
        <w:t xml:space="preserve"> </w:t>
      </w:r>
      <w:r>
        <w:t xml:space="preserve">Forest Inventory and Analysis (FIA) dataset in the United States</w:t>
      </w:r>
      <w:r>
        <w:t xml:space="preserve"> </w:t>
      </w:r>
      <w:r>
        <w:t xml:space="preserve">(O’Connell et al.</w:t>
      </w:r>
      <w:r>
        <w:t xml:space="preserve"> </w:t>
      </w:r>
      <w:hyperlink w:anchor="ref-OConnell2007">
        <w:r>
          <w:rPr>
            <w:rStyle w:val="Hyperlink"/>
          </w:rPr>
          <w:t xml:space="preserve">2007</w:t>
        </w:r>
      </w:hyperlink>
      <w:r>
        <w:t xml:space="preserve">) and the</w:t>
      </w:r>
      <w:r>
        <w:t xml:space="preserve"> </w:t>
      </w:r>
      <w:r>
        <w:t xml:space="preserve">permanent plots of forest inventory program for Québec (Minist‘ere des</w:t>
      </w:r>
      <w:r>
        <w:t xml:space="preserve"> </w:t>
      </w:r>
      <w:r>
        <w:t xml:space="preserve">Ressources Naturelles</w:t>
      </w:r>
      <w:r>
        <w:t xml:space="preserve"> </w:t>
      </w:r>
      <w:hyperlink w:anchor="ref-Naturelles2016">
        <w:r>
          <w:rPr>
            <w:rStyle w:val="Hyperlink"/>
          </w:rPr>
          <w:t xml:space="preserve">2016</w:t>
        </w:r>
      </w:hyperlink>
      <w:r>
        <w:t xml:space="preserve">).</w:t>
      </w:r>
      <w:r>
        <w:t xml:space="preserve"> </w:t>
      </w:r>
      <w:r>
        <w:t xml:space="preserve">These inventories, with multiple individual measurements over time and</w:t>
      </w:r>
      <w:r>
        <w:t xml:space="preserve"> </w:t>
      </w:r>
      <w:r>
        <w:t xml:space="preserve">space, allowed us to use the transition information between measurement</w:t>
      </w:r>
      <w:r>
        <w:t xml:space="preserve"> </w:t>
      </w:r>
      <w:r>
        <w:t xml:space="preserve">years for predicting growth, survival, and recruitment rates. We</w:t>
      </w:r>
      <w:r>
        <w:t xml:space="preserve"> </w:t>
      </w:r>
      <w:r>
        <w:t xml:space="preserve">selected the 31 most abundant species, comprising 9 conifer species and</w:t>
      </w:r>
      <w:r>
        <w:t xml:space="preserve"> </w:t>
      </w:r>
      <w:r>
        <w:t xml:space="preserve">22 hardwood species, well-dispersed across shade tolerance and</w:t>
      </w:r>
      <w:r>
        <w:t xml:space="preserve"> </w:t>
      </w:r>
      <w:r>
        <w:t xml:space="preserve">successional status (Supplementary Material 1). These species are well</w:t>
      </w:r>
      <w:r>
        <w:t xml:space="preserve"> </w:t>
      </w:r>
      <w:r>
        <w:t xml:space="preserve">distributed across the eastern North American gradient and the sampling</w:t>
      </w:r>
      <w:r>
        <w:t xml:space="preserve"> </w:t>
      </w:r>
      <w:r>
        <w:t xml:space="preserve">area covers cold and hot range limits for most species.</w:t>
      </w:r>
    </w:p>
    <w:bookmarkStart w:id="24" w:name="extracting-local-suitability-probability"/>
    <w:p>
      <w:pPr>
        <w:pStyle w:val="Heading2"/>
      </w:pPr>
      <w:r>
        <w:t xml:space="preserve">Extracting local suitability</w:t>
      </w:r>
      <w:r>
        <w:t xml:space="preserve"> </w:t>
      </w:r>
      <w:r>
        <w:t xml:space="preserve">probability</w:t>
      </w:r>
    </w:p>
    <w:bookmarkEnd w:id="24"/>
    <w:p>
      <w:pPr>
        <w:pStyle w:val="FirstParagraph"/>
      </w:pPr>
      <w:r>
        <w:t xml:space="preserve">We estimate</w:t>
      </w:r>
      <w:r>
        <w:t xml:space="preserve"> </w:t>
      </w:r>
      <m:oMath>
        <m:r>
          <m:t>λ</m:t>
        </m:r>
      </m:oMath>
      <w:r>
        <w:t xml:space="preserve"> </w:t>
      </w:r>
      <w:r>
        <w:t xml:space="preserve">at the local population scale, specifically at</w:t>
      </w:r>
      <w:r>
        <w:t xml:space="preserve"> </w:t>
      </w:r>
      <w:r>
        <w:t xml:space="preserve">the plot level in our study. Within a given geographic location, such as</w:t>
      </w:r>
      <w:r>
        <w:t xml:space="preserve"> </w:t>
      </w:r>
      <w:r>
        <w:t xml:space="preserve">a specific latitude where several plots are located, the variance of</w:t>
      </w:r>
      <w:r>
        <w:t xml:space="preserve"> </w:t>
      </w:r>
      <m:oMath>
        <m:r>
          <m:t>λ</m:t>
        </m:r>
      </m:oMath>
      <w:r>
        <w:t xml:space="preserve"> </w:t>
      </w:r>
      <w:r>
        <w:t xml:space="preserve">among those plots arises from spatio-temporal variations in</w:t>
      </w:r>
      <w:r>
        <w:t xml:space="preserve"> </w:t>
      </w:r>
      <w:r>
        <w:t xml:space="preserve">both climate and competition covariates. For instance, climate</w:t>
      </w:r>
      <w:r>
        <w:t xml:space="preserve"> </w:t>
      </w:r>
      <w:r>
        <w:t xml:space="preserve">stochasticity introduces noise in annual temperature and precipitation,</w:t>
      </w:r>
      <w:r>
        <w:t xml:space="preserve"> </w:t>
      </w:r>
      <w:r>
        <w:t xml:space="preserve">leading to environmental variation. Similarly, even with identical</w:t>
      </w:r>
      <w:r>
        <w:t xml:space="preserve"> </w:t>
      </w:r>
      <w:r>
        <w:t xml:space="preserve">climate conditions, two locations can exhibit different community</w:t>
      </w:r>
      <w:r>
        <w:t xml:space="preserve"> </w:t>
      </w:r>
      <w:r>
        <w:t xml:space="preserve">abundance and composition, resulting in variability in the strength of</w:t>
      </w:r>
      <w:r>
        <w:t xml:space="preserve"> </w:t>
      </w:r>
      <w:r>
        <w:t xml:space="preserve">competition. Beyond these spatio-temporal environmentally-induced</w:t>
      </w:r>
      <w:r>
        <w:t xml:space="preserve"> </w:t>
      </w:r>
      <w:r>
        <w:t xml:space="preserve">variations,</w:t>
      </w:r>
      <w:r>
        <w:t xml:space="preserve"> </w:t>
      </w:r>
      <m:oMath>
        <m:r>
          <m:t>λ</m:t>
        </m:r>
      </m:oMath>
      <w:r>
        <w:t xml:space="preserve"> </w:t>
      </w:r>
      <w:r>
        <w:t xml:space="preserve">can still vary due to the other sources of</w:t>
      </w:r>
      <w:r>
        <w:t xml:space="preserve"> </w:t>
      </w:r>
      <w:r>
        <w:t xml:space="preserve">uncertainty discussed above.</w:t>
      </w:r>
    </w:p>
    <w:p>
      <w:pPr>
        <w:pStyle w:val="BodyText"/>
      </w:pPr>
      <w:r>
        <w:t xml:space="preserve">We track demographic model uncertainty at two complementary scales:</w:t>
      </w:r>
      <w:r>
        <w:t xml:space="preserve"> </w:t>
      </w:r>
      <w:r>
        <w:t xml:space="preserve">individual and plot levels. At the individual level, without plot random</w:t>
      </w:r>
      <w:r>
        <w:t xml:space="preserve"> </w:t>
      </w:r>
      <w:r>
        <w:t xml:space="preserve">effects, two plots with the same climate and competition conditions may</w:t>
      </w:r>
      <w:r>
        <w:t xml:space="preserve"> </w:t>
      </w:r>
      <w:r>
        <w:t xml:space="preserve">have different</w:t>
      </w:r>
      <w:r>
        <w:t xml:space="preserve"> </w:t>
      </w:r>
      <m:oMath>
        <m:r>
          <m:t>λ</m:t>
        </m:r>
      </m:oMath>
      <w:r>
        <w:t xml:space="preserve"> </w:t>
      </w:r>
      <w:r>
        <w:t xml:space="preserve">values due to the uncertainty in the</w:t>
      </w:r>
      <w:r>
        <w:t xml:space="preserve"> </w:t>
      </w:r>
      <w:r>
        <w:t xml:space="preserve">demographic growth, survival, and recruitment sub-models. Similarly,</w:t>
      </w:r>
      <w:r>
        <w:t xml:space="preserve"> </w:t>
      </w:r>
      <w:r>
        <w:t xml:space="preserve">with the same environmental conditions and averaged parameter values</w:t>
      </w:r>
      <w:r>
        <w:t xml:space="preserve"> </w:t>
      </w:r>
      <w:r>
        <w:t xml:space="preserve">(eliminating demographic uncertainty at the individual level), two plots</w:t>
      </w:r>
      <w:r>
        <w:t xml:space="preserve"> </w:t>
      </w:r>
      <w:r>
        <w:t xml:space="preserve">can still yield different</w:t>
      </w:r>
      <w:r>
        <w:t xml:space="preserve"> </w:t>
      </w:r>
      <m:oMath>
        <m:r>
          <m:t>λ</m:t>
        </m:r>
      </m:oMath>
      <w:r>
        <w:t xml:space="preserve"> </w:t>
      </w:r>
      <w:r>
        <w:t xml:space="preserve">values due to the spatial</w:t>
      </w:r>
      <w:r>
        <w:t xml:space="preserve"> </w:t>
      </w:r>
      <w:r>
        <w:t xml:space="preserve">uncertainty of each demographic model due to the plot random effects.</w:t>
      </w:r>
      <w:r>
        <w:t xml:space="preserve"> </w:t>
      </w:r>
      <w:r>
        <w:t xml:space="preserve">Therefore, variability in the population growth rate can arise from</w:t>
      </w:r>
      <w:r>
        <w:t xml:space="preserve"> </w:t>
      </w:r>
      <w:r>
        <w:t xml:space="preserve">spatio-temporal variations in both the environment and the parameters.</w:t>
      </w:r>
    </w:p>
    <w:p>
      <w:pPr>
        <w:pStyle w:val="BodyText"/>
      </w:pPr>
      <w:r>
        <w:t xml:space="preserve">Given these different sources of variability in</w:t>
      </w:r>
      <w:r>
        <w:t xml:space="preserve"> </w:t>
      </w:r>
      <m:oMath>
        <m:r>
          <m:t>λ</m:t>
        </m:r>
      </m:oMath>
      <w:r>
        <w:t xml:space="preserve">, we define</w:t>
      </w:r>
      <w:r>
        <w:t xml:space="preserve"> </w:t>
      </w:r>
      <w:r>
        <w:t xml:space="preserve">the suitable probability as the area under the distribution for</w:t>
      </w:r>
      <w:r>
        <w:t xml:space="preserve"> </w:t>
      </w:r>
      <m:oMath>
        <m:r>
          <m:t>λ</m:t>
        </m:r>
        <m:r>
          <m:t>≥</m:t>
        </m:r>
        <m:r>
          <m:t>1</m:t>
        </m:r>
      </m:oMath>
      <w:r>
        <w:t xml:space="preserve">. To estimate this, we first determine the cumulative</w:t>
      </w:r>
      <w:r>
        <w:t xml:space="preserve"> </w:t>
      </w:r>
      <w:r>
        <w:t xml:space="preserve">distribution function,</w:t>
      </w:r>
      <w:r>
        <w:t xml:space="preserve"> </w:t>
      </w:r>
      <m:oMath>
        <m:r>
          <m:t>F</m:t>
        </m:r>
        <m:r>
          <m:t>(</m:t>
        </m:r>
        <m:r>
          <m:t>x</m:t>
        </m:r>
        <m:r>
          <m:t>)</m:t>
        </m:r>
      </m:oMath>
      <w:r>
        <w:t xml:space="preserve">, from the generic probability density</w:t>
      </w:r>
      <w:r>
        <w:t xml:space="preserve"> </w:t>
      </w:r>
      <w:r>
        <w:t xml:space="preserve">function,</w:t>
      </w:r>
      <w:r>
        <w:t xml:space="preserve"> </w:t>
      </w:r>
      <m:oMath>
        <m:r>
          <m:t>λ</m:t>
        </m:r>
        <m:r>
          <m:t>=</m:t>
        </m:r>
        <m:r>
          <m:t>f</m:t>
        </m:r>
        <m:r>
          <m:t>(</m:t>
        </m:r>
        <m:r>
          <m:t>t</m:t>
        </m:r>
        <m:r>
          <m:t>)</m:t>
        </m:r>
      </m:oMath>
      <w:r>
        <w:t xml:space="preserve">, as follows:</w:t>
      </w:r>
    </w:p>
    <w:p>
      <w:pPr>
        <w:pStyle w:val="BodyText"/>
      </w:pPr>
      <m:oMathPara>
        <m:oMathParaPr>
          <m:jc m:val="center"/>
        </m:oMathParaPr>
        <m:oMath>
          <m:sSub>
            <m:e>
              <m:r>
                <m:t>F</m:t>
              </m:r>
            </m:e>
            <m:sub>
              <m:r>
                <m:t>λ</m:t>
              </m:r>
            </m:sub>
          </m:sSub>
          <m:r>
            <m:t>(</m:t>
          </m:r>
          <m:r>
            <m:t>x</m:t>
          </m:r>
          <m:r>
            <m:t>)</m:t>
          </m:r>
          <m:r>
            <m:t>=</m:t>
          </m:r>
          <m:r>
            <m:t>P</m:t>
          </m:r>
          <m:r>
            <m:t>(</m:t>
          </m:r>
          <m:r>
            <m:t>λ</m:t>
          </m:r>
          <m:r>
            <m:t>≤</m:t>
          </m:r>
          <m:r>
            <m:t>x</m:t>
          </m:r>
          <m:r>
            <m:t>)</m:t>
          </m:r>
          <m:r>
            <m:t>=</m:t>
          </m:r>
          <m:nary>
            <m:naryPr>
              <m:chr m:val="∫"/>
              <m:limLoc m:val="subSup"/>
              <m:subHide m:val="0"/>
              <m:supHide m:val="0"/>
            </m:naryPr>
            <m:sub>
              <m:r>
                <m:t>−</m:t>
              </m:r>
              <m:r>
                <m:t>∞</m:t>
              </m:r>
            </m:sub>
            <m:sup>
              <m:r>
                <m:t>1</m:t>
              </m:r>
            </m:sup>
            <m:e>
              <m:r>
                <m:t>f</m:t>
              </m:r>
            </m:e>
          </m:nary>
          <m:r>
            <m:t>(</m:t>
          </m:r>
          <m:r>
            <m:t>t</m:t>
          </m:r>
          <m:r>
            <m:t>)</m:t>
          </m:r>
          <m:r>
            <m:t>d</m:t>
          </m:r>
          <m:r>
            <m:t>t</m:t>
          </m:r>
        </m:oMath>
      </m:oMathPara>
    </w:p>
    <w:p>
      <w:pPr>
        <w:pStyle w:val="FirstParagraph"/>
      </w:pPr>
      <w:r>
        <w:t xml:space="preserve">This function represents the cumulative distribution from</w:t>
      </w:r>
      <w:r>
        <w:t xml:space="preserve"> </w:t>
      </w:r>
      <m:oMath>
        <m:r>
          <m:t>−</m:t>
        </m:r>
        <m:r>
          <m:t>∞</m:t>
        </m:r>
      </m:oMath>
      <w:r>
        <w:t xml:space="preserve"> </w:t>
      </w:r>
      <w:r>
        <w:t xml:space="preserve">to</w:t>
      </w:r>
      <w:r>
        <w:t xml:space="preserve"> </w:t>
      </w:r>
      <m:oMath>
        <m:r>
          <m:t>x</m:t>
        </m:r>
      </m:oMath>
      <w:r>
        <w:t xml:space="preserve">. Subsequently, we define the suitable probability (</w:t>
      </w:r>
      <m:oMath>
        <m:r>
          <m:t>Λ</m:t>
        </m:r>
      </m:oMath>
      <w:r>
        <w:t xml:space="preserve">) as</w:t>
      </w:r>
      <w:r>
        <w:t xml:space="preserve"> </w:t>
      </w:r>
      <w:r>
        <w:t xml:space="preserve">the complement of the cumulative distribution function for</w:t>
      </w:r>
      <w:r>
        <w:t xml:space="preserve"> </w:t>
      </w:r>
      <m:oMath>
        <m:r>
          <m:t>x</m:t>
        </m:r>
        <m:r>
          <m:t>=</m:t>
        </m:r>
        <m:r>
          <m:t>1</m:t>
        </m:r>
      </m:oMath>
      <w:r>
        <w:t xml:space="preserve">:</w:t>
      </w:r>
    </w:p>
    <w:p>
      <w:pPr>
        <w:pStyle w:val="BodyText"/>
      </w:pPr>
      <m:oMathPara>
        <m:oMathParaPr>
          <m:jc m:val="center"/>
        </m:oMathParaPr>
        <m:oMath>
          <m:r>
            <m:t>Λ</m:t>
          </m:r>
          <m:r>
            <m:t>=</m:t>
          </m:r>
          <m:r>
            <m:t>1</m:t>
          </m:r>
          <m:r>
            <m:t>−</m:t>
          </m:r>
          <m:sSub>
            <m:e>
              <m:r>
                <m:t>F</m:t>
              </m:r>
            </m:e>
            <m:sub>
              <m:r>
                <m:t>λ</m:t>
              </m:r>
            </m:sub>
          </m:sSub>
          <m:r>
            <m:t>(</m:t>
          </m:r>
          <m:r>
            <m:t>1</m:t>
          </m:r>
          <m:r>
            <m:t>)</m:t>
          </m:r>
        </m:oMath>
      </m:oMathPara>
    </w:p>
    <w:bookmarkStart w:id="25" w:name="modeling-suitable-probability"/>
    <w:p>
      <w:pPr>
        <w:pStyle w:val="Heading2"/>
      </w:pPr>
      <w:r>
        <w:t xml:space="preserve">Modeling suitable</w:t>
      </w:r>
      <w:r>
        <w:t xml:space="preserve"> </w:t>
      </w:r>
      <w:r>
        <w:t xml:space="preserve">probability</w:t>
      </w:r>
    </w:p>
    <w:bookmarkEnd w:id="25"/>
    <w:p>
      <w:pPr>
        <w:pStyle w:val="FirstParagraph"/>
      </w:pPr>
      <w:r>
        <w:t xml:space="preserve">We can evaluate the suitable probability of a species at various scales,</w:t>
      </w:r>
      <w:r>
        <w:t xml:space="preserve"> </w:t>
      </w:r>
      <w:r>
        <w:t xml:space="preserve">ranging from a single local plot up to several plots in a region. At the</w:t>
      </w:r>
      <w:r>
        <w:t xml:space="preserve"> </w:t>
      </w:r>
      <w:r>
        <w:t xml:space="preserve">plot level, sources of variability in</w:t>
      </w:r>
      <w:r>
        <w:t xml:space="preserve"> </w:t>
      </w:r>
      <m:oMath>
        <m:r>
          <m:t>λ</m:t>
        </m:r>
      </m:oMath>
      <w:r>
        <w:t xml:space="preserve"> </w:t>
      </w:r>
      <w:r>
        <w:t xml:space="preserve">stem from parameter</w:t>
      </w:r>
      <w:r>
        <w:t xml:space="preserve"> </w:t>
      </w:r>
      <w:r>
        <w:t xml:space="preserve">uncertainty, individual heterogeneity, and temporal variability in</w:t>
      </w:r>
      <w:r>
        <w:t xml:space="preserve"> </w:t>
      </w:r>
      <w:r>
        <w:t xml:space="preserve">climate and competition. When considering multiple plots simultaneously,</w:t>
      </w:r>
      <w:r>
        <w:t xml:space="preserve"> </w:t>
      </w:r>
      <w:r>
        <w:t xml:space="preserve">we can additionally account for spatial variability in climate and</w:t>
      </w:r>
      <w:r>
        <w:t xml:space="preserve"> </w:t>
      </w:r>
      <w:r>
        <w:t xml:space="preserve">competition, along with spatial uncertainty in plot-level parameters.</w:t>
      </w:r>
    </w:p>
    <w:p>
      <w:pPr>
        <w:pStyle w:val="BodyText"/>
      </w:pPr>
      <w:r>
        <w:t xml:space="preserve">Apart from parameter uncertainty at the individual level, all other</w:t>
      </w:r>
      <w:r>
        <w:t xml:space="preserve"> </w:t>
      </w:r>
      <w:r>
        <w:t xml:space="preserve">sources of variability exhibit spatial dependence. This implies that</w:t>
      </w:r>
      <w:r>
        <w:t xml:space="preserve"> </w:t>
      </w:r>
      <w:r>
        <w:t xml:space="preserve">environmental variability (from climate, competition, or both) and</w:t>
      </w:r>
      <w:r>
        <w:t xml:space="preserve"> </w:t>
      </w:r>
      <w:r>
        <w:t xml:space="preserve">parameter uncertainty at the plot level can vary based on their spatial</w:t>
      </w:r>
      <w:r>
        <w:t xml:space="preserve"> </w:t>
      </w:r>
      <w:r>
        <w:t xml:space="preserve">location. For instance, plots at the border of the species distribution</w:t>
      </w:r>
      <w:r>
        <w:t xml:space="preserve"> </w:t>
      </w:r>
      <w:r>
        <w:t xml:space="preserve">may experience more temperature variability than those at the center.</w:t>
      </w:r>
      <w:r>
        <w:t xml:space="preserve"> </w:t>
      </w:r>
      <w:r>
        <w:t xml:space="preserve">Additionally, plot-level parameter uncertainty can be spatially</w:t>
      </w:r>
      <w:r>
        <w:t xml:space="preserve"> </w:t>
      </w:r>
      <w:r>
        <w:t xml:space="preserve">clustered, capturing potential features of demographic variability</w:t>
      </w:r>
      <w:r>
        <w:t xml:space="preserve"> </w:t>
      </w:r>
      <w:r>
        <w:t xml:space="preserve">beyond the climatic and competition covariates, such as historical</w:t>
      </w:r>
      <w:r>
        <w:t xml:space="preserve"> </w:t>
      </w:r>
      <w:r>
        <w:t xml:space="preserve">factors or local edaphic conditions.</w:t>
      </w:r>
    </w:p>
    <w:p>
      <w:pPr>
        <w:pStyle w:val="BodyText"/>
      </w:pPr>
      <w:r>
        <w:t xml:space="preserve">Given that variability can be spatially dependent, we can model how</w:t>
      </w:r>
      <w:r>
        <w:t xml:space="preserve"> </w:t>
      </w:r>
      <w:r>
        <w:t xml:space="preserve">suitable probability changes across the species’ range distribution,</w:t>
      </w:r>
      <w:r>
        <w:t xml:space="preserve"> </w:t>
      </w:r>
      <w:r>
        <w:t xml:space="preserve">considering both fixed climate and competition effects and the</w:t>
      </w:r>
      <w:r>
        <w:t xml:space="preserve"> </w:t>
      </w:r>
      <w:r>
        <w:t xml:space="preserve">underlying spatio-temporal variability. We are particularly interested</w:t>
      </w:r>
      <w:r>
        <w:t xml:space="preserve"> </w:t>
      </w:r>
      <w:r>
        <w:t xml:space="preserve">in how suitable probability changes from the center toward the cold and</w:t>
      </w:r>
      <w:r>
        <w:t xml:space="preserve"> </w:t>
      </w:r>
      <w:r>
        <w:t xml:space="preserve">hot ranges. For that, we categorized all species’ plot-year observations</w:t>
      </w:r>
      <w:r>
        <w:t xml:space="preserve"> </w:t>
      </w:r>
      <w:r>
        <w:t xml:space="preserve">based on the gradient of mean annual temperature (MAT), divided into</w:t>
      </w:r>
      <w:r>
        <w:t xml:space="preserve"> </w:t>
      </w:r>
      <w:r>
        <w:t xml:space="preserve">cold and hot ranges using the MAT centroid among all plots for the</w:t>
      </w:r>
      <w:r>
        <w:t xml:space="preserve"> </w:t>
      </w:r>
      <w:r>
        <w:t xml:space="preserve">species (</w:t>
      </w:r>
      <m:oMath>
        <m:f>
          <m:fPr>
            <m:type m:val="bar"/>
          </m:fPr>
          <m:num>
            <m:r>
              <m:t>m</m:t>
            </m:r>
            <m:r>
              <m:t>a</m:t>
            </m:r>
            <m:r>
              <m:t>x</m:t>
            </m:r>
            <m:r>
              <m:t>(</m:t>
            </m:r>
            <m:r>
              <m:t>M</m:t>
            </m:r>
            <m:r>
              <m:t>A</m:t>
            </m:r>
            <m:r>
              <m:t>T</m:t>
            </m:r>
            <m:r>
              <m:t>)</m:t>
            </m:r>
            <m:r>
              <m:t>+</m:t>
            </m:r>
            <m:r>
              <m:t>m</m:t>
            </m:r>
            <m:r>
              <m:t>i</m:t>
            </m:r>
            <m:r>
              <m:t>n</m:t>
            </m:r>
            <m:r>
              <m:t>(</m:t>
            </m:r>
            <m:r>
              <m:t>M</m:t>
            </m:r>
            <m:r>
              <m:t>A</m:t>
            </m:r>
            <m:r>
              <m:t>T</m:t>
            </m:r>
            <m:r>
              <m:t>)</m:t>
            </m:r>
          </m:num>
          <m:den>
            <m:r>
              <m:t>2</m:t>
            </m:r>
          </m:den>
        </m:f>
      </m:oMath>
      <w:r>
        <w:t xml:space="preserve">). For instance, if a species</w:t>
      </w:r>
      <w:r>
        <w:t xml:space="preserve"> </w:t>
      </w:r>
      <w:r>
        <w:t xml:space="preserve">is observed within the 4-10°C gradient of MAT, the plots with MAT below</w:t>
      </w:r>
      <w:r>
        <w:t xml:space="preserve"> </w:t>
      </w:r>
      <w:r>
        <w:t xml:space="preserve">7°C are classified as cold, while the others are classified as hot. We</w:t>
      </w:r>
      <w:r>
        <w:t xml:space="preserve"> </w:t>
      </w:r>
      <w:r>
        <w:t xml:space="preserve">chose to use MAT instead of latitude because we are interested in the</w:t>
      </w:r>
      <w:r>
        <w:t xml:space="preserve"> </w:t>
      </w:r>
      <w:r>
        <w:t xml:space="preserve">species’ climatic niche, although the two variables are highly</w:t>
      </w:r>
      <w:r>
        <w:t xml:space="preserve"> </w:t>
      </w:r>
      <w:r>
        <w:t xml:space="preserve">correlated.</w:t>
      </w:r>
    </w:p>
    <w:p>
      <w:pPr>
        <w:pStyle w:val="BodyText"/>
      </w:pPr>
      <w:r>
        <w:t xml:space="preserve">We assessed suitable probability separately for the cold and hot ranges,</w:t>
      </w:r>
      <w:r>
        <w:t xml:space="preserve"> </w:t>
      </w:r>
      <w:r>
        <w:t xml:space="preserve">employing a linear model to determine the relationship between</w:t>
      </w:r>
      <w:r>
        <w:t xml:space="preserve"> </w:t>
      </w:r>
      <m:oMath>
        <m:r>
          <m:t>λ</m:t>
        </m:r>
      </m:oMath>
      <w:r>
        <w:t xml:space="preserve"> </w:t>
      </w:r>
      <w:r>
        <w:t xml:space="preserve">and MAT. The spatio-temporal variability of</w:t>
      </w:r>
      <w:r>
        <w:t xml:space="preserve"> </w:t>
      </w:r>
      <m:oMath>
        <m:r>
          <m:t>λ</m:t>
        </m:r>
      </m:oMath>
      <w:r>
        <w:t xml:space="preserve"> </w:t>
      </w:r>
      <w:r>
        <w:t xml:space="preserve">arising from environmental stochasticity and parameter uncertainty</w:t>
      </w:r>
      <w:r>
        <w:t xml:space="preserve"> </w:t>
      </w:r>
      <w:r>
        <w:t xml:space="preserve">influences the variance of the linear model. As this variance may change</w:t>
      </w:r>
      <w:r>
        <w:t xml:space="preserve"> </w:t>
      </w:r>
      <w:r>
        <w:t xml:space="preserve">depending on the range position, we introduce a submodel for the</w:t>
      </w:r>
      <w:r>
        <w:t xml:space="preserve"> </w:t>
      </w:r>
      <w:r>
        <w:t xml:space="preserve">variance of the linear model to be dependent on MAT. To accommodate</w:t>
      </w:r>
      <w:r>
        <w:t xml:space="preserve"> </w:t>
      </w:r>
      <w:r>
        <w:t xml:space="preserve">potential asymmetry in this variance, we use a Skew Normal Distribution</w:t>
      </w:r>
      <w:r>
        <w:t xml:space="preserve"> </w:t>
      </w:r>
      <w:r>
        <w:t xml:space="preserve">(</w:t>
      </w:r>
      <m:oMath>
        <m:r>
          <m:t>S</m:t>
        </m:r>
        <m:r>
          <m:t>N</m:t>
        </m:r>
      </m:oMath>
      <w:r>
        <w:t xml:space="preserve">) incorporating an additional parameter (</w:t>
      </w:r>
      <m:oMath>
        <m:r>
          <m:t>α</m:t>
        </m:r>
      </m:oMath>
      <w:r>
        <w:t xml:space="preserve">) that can</w:t>
      </w:r>
      <w:r>
        <w:t xml:space="preserve"> </w:t>
      </w:r>
      <w:r>
        <w:t xml:space="preserve">introduce right or left-skewed tails to the variance:</w:t>
      </w:r>
    </w:p>
    <w:p>
      <w:pPr>
        <w:pStyle w:val="BodyText"/>
      </w:pPr>
      <m:oMathPara>
        <m:oMathParaPr>
          <m:jc m:val="center"/>
        </m:oMathParaPr>
        <m:oMath>
          <m:m>
            <m:mPr>
              <m:baseJc m:val="center"/>
              <m:plcHide m:val="1"/>
              <m:mcs>
                <m:mc>
                  <m:mcPr>
                    <m:mcJc m:val="right"/>
                    <m:count m:val="1"/>
                  </m:mcPr>
                </m:mc>
                <m:mc>
                  <m:mcPr>
                    <m:mcJc m:val="left"/>
                    <m:count m:val="1"/>
                  </m:mcPr>
                </m:mc>
              </m:mcs>
            </m:mPr>
            <m:mr>
              <m:e/>
              <m:e>
                <m:r>
                  <m:t>l</m:t>
                </m:r>
                <m:r>
                  <m:t>o</m:t>
                </m:r>
                <m:r>
                  <m:t>g</m:t>
                </m:r>
                <m:r>
                  <m:t>(</m:t>
                </m:r>
                <m:r>
                  <m:t>λ</m:t>
                </m:r>
                <m:r>
                  <m:t>)</m:t>
                </m:r>
                <m:r>
                  <m:t>∼</m:t>
                </m:r>
                <m:r>
                  <m:t>S</m:t>
                </m:r>
                <m:r>
                  <m:t>N</m:t>
                </m:r>
                <m:r>
                  <m:t>(</m:t>
                </m:r>
                <m:r>
                  <m:t>ξ</m:t>
                </m:r>
                <m:r>
                  <m:t>,</m:t>
                </m:r>
                <m:r>
                  <m:t>ω</m:t>
                </m:r>
                <m:r>
                  <m:t>,</m:t>
                </m:r>
                <m:r>
                  <m:t>α</m:t>
                </m:r>
                <m:r>
                  <m:t>)</m:t>
                </m:r>
              </m:e>
            </m:mr>
            <m:mr>
              <m:e/>
              <m:e>
                <m:r>
                  <m:t>ξ</m:t>
                </m:r>
                <m:r>
                  <m:t>=</m:t>
                </m:r>
                <m:sSub>
                  <m:e>
                    <m:r>
                      <m:t>β</m:t>
                    </m:r>
                  </m:e>
                  <m:sub>
                    <m:r>
                      <m:t>1</m:t>
                    </m:r>
                    <m:r>
                      <m:t>,</m:t>
                    </m:r>
                    <m:r>
                      <m:t>ξ</m:t>
                    </m:r>
                  </m:sub>
                </m:sSub>
                <m:r>
                  <m:t>×</m:t>
                </m:r>
                <m:r>
                  <m:t>M</m:t>
                </m:r>
                <m:r>
                  <m:t>A</m:t>
                </m:r>
                <m:r>
                  <m:t>T</m:t>
                </m:r>
                <m:r>
                  <m:t>+</m:t>
                </m:r>
                <m:sSub>
                  <m:e>
                    <m:r>
                      <m:t>β</m:t>
                    </m:r>
                  </m:e>
                  <m:sub>
                    <m:r>
                      <m:t>0</m:t>
                    </m:r>
                    <m:r>
                      <m:t>,</m:t>
                    </m:r>
                    <m:r>
                      <m:t>ξ</m:t>
                    </m:r>
                  </m:sub>
                </m:sSub>
              </m:e>
            </m:mr>
            <m:mr>
              <m:e/>
              <m:e>
                <m:r>
                  <m:t>ω</m:t>
                </m:r>
                <m:r>
                  <m:t>=</m:t>
                </m:r>
                <m:sSup>
                  <m:e>
                    <m:r>
                      <m:t>e</m:t>
                    </m:r>
                  </m:e>
                  <m:sup>
                    <m:sSub>
                      <m:e>
                        <m:r>
                          <m:t>β</m:t>
                        </m:r>
                      </m:e>
                      <m:sub>
                        <m:r>
                          <m:t>1</m:t>
                        </m:r>
                        <m:r>
                          <m:t>,</m:t>
                        </m:r>
                        <m:r>
                          <m:t>ω</m:t>
                        </m:r>
                      </m:sub>
                    </m:sSub>
                    <m:r>
                      <m:t>×</m:t>
                    </m:r>
                    <m:r>
                      <m:t>M</m:t>
                    </m:r>
                    <m:r>
                      <m:t>A</m:t>
                    </m:r>
                    <m:r>
                      <m:t>T</m:t>
                    </m:r>
                    <m:r>
                      <m:t>+</m:t>
                    </m:r>
                    <m:sSub>
                      <m:e>
                        <m:r>
                          <m:t>β</m:t>
                        </m:r>
                      </m:e>
                      <m:sub>
                        <m:r>
                          <m:t>0</m:t>
                        </m:r>
                        <m:r>
                          <m:t>,</m:t>
                        </m:r>
                        <m:r>
                          <m:t>ω</m:t>
                        </m:r>
                      </m:sub>
                    </m:sSub>
                  </m:sup>
                </m:sSup>
              </m:e>
            </m:mr>
          </m:m>
        </m:oMath>
      </m:oMathPara>
    </w:p>
    <w:p>
      <w:pPr>
        <w:pStyle w:val="FirstParagraph"/>
      </w:pPr>
      <w:r>
        <w:t xml:space="preserve">Here,</w:t>
      </w:r>
      <w:r>
        <w:t xml:space="preserve"> </w:t>
      </w:r>
      <m:oMath>
        <m:r>
          <m:t>ξ</m:t>
        </m:r>
      </m:oMath>
      <w:r>
        <w:t xml:space="preserve"> </w:t>
      </w:r>
      <w:r>
        <w:t xml:space="preserve">is the location parameter or the</w:t>
      </w:r>
      <w:r>
        <w:t xml:space="preserve"> </w:t>
      </w:r>
      <m:oMath>
        <m:r>
          <m:t>λ</m:t>
        </m:r>
      </m:oMath>
      <w:r>
        <w:t xml:space="preserve"> </w:t>
      </w:r>
      <w:r>
        <w:t xml:space="preserve">average, and</w:t>
      </w:r>
      <w:r>
        <w:t xml:space="preserve"> </w:t>
      </w:r>
      <m:oMath>
        <m:r>
          <m:t>ω</m:t>
        </m:r>
      </m:oMath>
      <w:r>
        <w:t xml:space="preserve"> </w:t>
      </w:r>
      <w:r>
        <w:t xml:space="preserve">is the scale representing the variance around the mean.</w:t>
      </w:r>
    </w:p>
    <w:bookmarkStart w:id="26" w:name="simulations"/>
    <w:p>
      <w:pPr>
        <w:pStyle w:val="Heading3"/>
      </w:pPr>
      <w:r>
        <w:t xml:space="preserve">Simulations</w:t>
      </w:r>
    </w:p>
    <w:bookmarkEnd w:id="26"/>
    <w:p>
      <w:pPr>
        <w:pStyle w:val="FirstParagraph"/>
      </w:pPr>
      <w:r>
        <w:t xml:space="preserve">We computed</w:t>
      </w:r>
      <w:r>
        <w:t xml:space="preserve"> </w:t>
      </w:r>
      <m:oMath>
        <m:r>
          <m:t>λ</m:t>
        </m:r>
      </m:oMath>
      <w:r>
        <w:t xml:space="preserve"> </w:t>
      </w:r>
      <w:r>
        <w:t xml:space="preserve">for each species based on the plot-year</w:t>
      </w:r>
      <w:r>
        <w:t xml:space="preserve"> </w:t>
      </w:r>
      <w:r>
        <w:t xml:space="preserve">observations in the dataset, considering both environmentally induced</w:t>
      </w:r>
      <w:r>
        <w:t xml:space="preserve"> </w:t>
      </w:r>
      <w:r>
        <w:t xml:space="preserve">variability and parameter uncertainty. For every observed</w:t>
      </w:r>
      <w:r>
        <w:t xml:space="preserve"> </w:t>
      </w:r>
      <w:r>
        <w:t xml:space="preserve">species-plot-year combination, we incorporated temporal stochasticity in</w:t>
      </w:r>
      <w:r>
        <w:t xml:space="preserve"> </w:t>
      </w:r>
      <w:r>
        <w:t xml:space="preserve">climate conditions by using the mean and standard deviation of mean</w:t>
      </w:r>
      <w:r>
        <w:t xml:space="preserve"> </w:t>
      </w:r>
      <w:r>
        <w:t xml:space="preserve">annual temperature and precipitation calculated from the years between</w:t>
      </w:r>
      <w:r>
        <w:t xml:space="preserve"> </w:t>
      </w:r>
      <w:r>
        <w:t xml:space="preserve">measurements. For instance, in the case of a plot observed twice, we</w:t>
      </w:r>
      <w:r>
        <w:t xml:space="preserve"> </w:t>
      </w:r>
      <w:r>
        <w:t xml:space="preserve">calculated</w:t>
      </w:r>
      <w:r>
        <w:t xml:space="preserve"> </w:t>
      </w:r>
      <m:oMath>
        <m:r>
          <m:t>λ</m:t>
        </m:r>
      </m:oMath>
      <w:r>
        <w:t xml:space="preserve"> </w:t>
      </w:r>
      <w:r>
        <w:t xml:space="preserve">for the second observation with climate</w:t>
      </w:r>
      <w:r>
        <w:t xml:space="preserve"> </w:t>
      </w:r>
      <w:r>
        <w:t xml:space="preserve">conditions drawn randomly from a normal distribution with mean and</w:t>
      </w:r>
      <w:r>
        <w:t xml:space="preserve"> </w:t>
      </w:r>
      <w:r>
        <w:t xml:space="preserve">standard deviation extracted from plot specific climate observations for</w:t>
      </w:r>
      <w:r>
        <w:t xml:space="preserve"> </w:t>
      </w:r>
      <w:r>
        <w:t xml:space="preserve">each year within the time interval. Similarly, temporal stochasticity in</w:t>
      </w:r>
      <w:r>
        <w:t xml:space="preserve"> </w:t>
      </w:r>
      <w:r>
        <w:t xml:space="preserve">competition arises from variation in abundance and composition between</w:t>
      </w:r>
      <w:r>
        <w:t xml:space="preserve"> </w:t>
      </w:r>
      <w:r>
        <w:t xml:space="preserve">measured years. By iteratively performing this calculation, drawing</w:t>
      </w:r>
      <w:r>
        <w:t xml:space="preserve"> </w:t>
      </w:r>
      <w:r>
        <w:t xml:space="preserve">parameter values randomly from the posterior distribution, we introduced</w:t>
      </w:r>
      <w:r>
        <w:t xml:space="preserve"> </w:t>
      </w:r>
      <w:r>
        <w:t xml:space="preserve">demographic uncertainty at the individual level. For each</w:t>
      </w:r>
      <w:r>
        <w:t xml:space="preserve"> </w:t>
      </w:r>
      <w:r>
        <w:t xml:space="preserve">species-plot-year measurement, we replicated the calculation of</w:t>
      </w:r>
      <w:r>
        <w:t xml:space="preserve"> </w:t>
      </w:r>
      <m:oMath>
        <m:r>
          <m:t>λ</m:t>
        </m:r>
      </m:oMath>
      <w:r>
        <w:t xml:space="preserve"> </w:t>
      </w:r>
      <w:r>
        <w:t xml:space="preserve">100 times. By applying this approach across all plots, we</w:t>
      </w:r>
      <w:r>
        <w:t xml:space="preserve"> </w:t>
      </w:r>
      <w:r>
        <w:t xml:space="preserve">naturally incorporate spatial variation in climate and competition</w:t>
      </w:r>
      <w:r>
        <w:t xml:space="preserve"> </w:t>
      </w:r>
      <w:r>
        <w:t xml:space="preserve">conditions and spatial uncertainty in plot-level parameters.</w:t>
      </w:r>
    </w:p>
    <w:p>
      <w:pPr>
        <w:pStyle w:val="BodyText"/>
      </w:pPr>
      <w:r>
        <w:t xml:space="preserve">For each species-plot-year-replication combination, we calculated</w:t>
      </w:r>
      <w:r>
        <w:t xml:space="preserve"> </w:t>
      </w:r>
      <m:oMath>
        <m:r>
          <m:t>λ</m:t>
        </m:r>
      </m:oMath>
      <w:r>
        <w:t xml:space="preserve"> </w:t>
      </w:r>
      <w:r>
        <w:t xml:space="preserve">under two simulated conditions. The first scenario excludes</w:t>
      </w:r>
      <w:r>
        <w:t xml:space="preserve"> </w:t>
      </w:r>
      <w:r>
        <w:t xml:space="preserve">competition in order to evaluate the fundamental niche, with</w:t>
      </w:r>
      <w:r>
        <w:t xml:space="preserve"> </w:t>
      </w:r>
      <w:r>
        <w:t xml:space="preserve">heterospecific competition set at zero and conspecific total population</w:t>
      </w:r>
      <w:r>
        <w:t xml:space="preserve"> </w:t>
      </w:r>
      <w:r>
        <w:t xml:space="preserve">size (N) set at 0.1. This simulation is used to assess the fundamental</w:t>
      </w:r>
      <w:r>
        <w:t xml:space="preserve"> </w:t>
      </w:r>
      <w:r>
        <w:t xml:space="preserve">niche. The second scenario is used to evaluate the invasion growth rate</w:t>
      </w:r>
      <w:r>
        <w:t xml:space="preserve"> </w:t>
      </w:r>
      <w:r>
        <w:t xml:space="preserve">with residents (the realized niche), with an evaluation of the</w:t>
      </w:r>
      <w:r>
        <w:t xml:space="preserve"> </w:t>
      </w:r>
      <w:r>
        <w:t xml:space="preserve">population growth rate when the focal species is rare (</w:t>
      </w:r>
      <m:oMath>
        <m:r>
          <m:t>N</m:t>
        </m:r>
        <m:r>
          <m:t>=</m:t>
        </m:r>
        <m:r>
          <m:t>0.1</m:t>
        </m:r>
      </m:oMath>
      <w:r>
        <w:t xml:space="preserve">) and</w:t>
      </w:r>
      <w:r>
        <w:t xml:space="preserve"> </w:t>
      </w:r>
      <w:r>
        <w:t xml:space="preserve">heterospecific competition is set to the observed abundance of the</w:t>
      </w:r>
      <w:r>
        <w:t xml:space="preserve"> </w:t>
      </w:r>
      <w:r>
        <w:t xml:space="preserve">competitive species. This condition simulated the population growth rate</w:t>
      </w:r>
      <w:r>
        <w:t xml:space="preserve"> </w:t>
      </w:r>
      <w:r>
        <w:t xml:space="preserve">under the realized niche.</w:t>
      </w:r>
    </w:p>
    <w:p>
      <w:pPr>
        <w:pStyle w:val="BodyText"/>
      </w:pPr>
      <w:r>
        <w:t xml:space="preserve">We then fitted a linear model of</w:t>
      </w:r>
      <w:r>
        <w:t xml:space="preserve"> </w:t>
      </w:r>
      <m:oMath>
        <m:r>
          <m:t>λ</m:t>
        </m:r>
      </m:oMath>
      <w:r>
        <w:t xml:space="preserve"> </w:t>
      </w:r>
      <w:r>
        <w:t xml:space="preserve">for each</w:t>
      </w:r>
      <w:r>
        <w:t xml:space="preserve"> </w:t>
      </w:r>
      <w:r>
        <w:t xml:space="preserve">species-plot-year-replication as a function of the mean annual</w:t>
      </w:r>
      <w:r>
        <w:t xml:space="preserve"> </w:t>
      </w:r>
      <w:r>
        <w:t xml:space="preserve">temperature gradient. Species-specific linear models were evaluated for</w:t>
      </w:r>
      <w:r>
        <w:t xml:space="preserve"> </w:t>
      </w:r>
      <w:r>
        <w:t xml:space="preserve">the hot and cold ranges using the Hamiltonian Monte Carlo (HMC)</w:t>
      </w:r>
      <w:r>
        <w:t xml:space="preserve"> </w:t>
      </w:r>
      <w:r>
        <w:t xml:space="preserve">algorithm via the Stan software (version 2.30.1 Team and Others</w:t>
      </w:r>
      <w:r>
        <w:t xml:space="preserve"> </w:t>
      </w:r>
      <w:hyperlink w:anchor="ref-stan2022stan">
        <w:r>
          <w:rPr>
            <w:rStyle w:val="Hyperlink"/>
          </w:rPr>
          <w:t xml:space="preserve">2022</w:t>
        </w:r>
      </w:hyperlink>
      <w:r>
        <w:t xml:space="preserve">) and the</w:t>
      </w:r>
      <w:r>
        <w:t xml:space="preserve"> </w:t>
      </w:r>
      <w:r>
        <w:rPr>
          <w:rStyle w:val="VerbatimChar"/>
        </w:rPr>
        <w:t xml:space="preserve">cmdstandr</w:t>
      </w:r>
      <w:r>
        <w:t xml:space="preserve"> </w:t>
      </w:r>
      <w:r>
        <w:t xml:space="preserve">R</w:t>
      </w:r>
      <w:r>
        <w:t xml:space="preserve"> </w:t>
      </w:r>
      <w:r>
        <w:t xml:space="preserve">package (version 0.5.3 Gabry et al.</w:t>
      </w:r>
      <w:r>
        <w:t xml:space="preserve"> </w:t>
      </w:r>
      <w:hyperlink w:anchor="ref-cmdstanr">
        <w:r>
          <w:rPr>
            <w:rStyle w:val="Hyperlink"/>
          </w:rPr>
          <w:t xml:space="preserve">2023</w:t>
        </w:r>
      </w:hyperlink>
      <w:r>
        <w:t xml:space="preserve">). We conducted 1000 iterations</w:t>
      </w:r>
      <w:r>
        <w:t xml:space="preserve"> </w:t>
      </w:r>
      <w:r>
        <w:t xml:space="preserve">for the warm-up and 1000 iterations for the sampling phase for each of</w:t>
      </w:r>
      <w:r>
        <w:t xml:space="preserve"> </w:t>
      </w:r>
      <w:r>
        <w:t xml:space="preserve">the four chains, resulting in 4000 posterior samples (excluding the</w:t>
      </w:r>
      <w:r>
        <w:t xml:space="preserve"> </w:t>
      </w:r>
      <w:r>
        <w:t xml:space="preserve">warm-up). We used a sample of 5000 plots for each species to fit the</w:t>
      </w:r>
      <w:r>
        <w:t xml:space="preserve"> </w:t>
      </w:r>
      <w:r>
        <w:t xml:space="preserve">model. This sample was necessary only for 6 out of the 31 species.</w:t>
      </w:r>
    </w:p>
    <w:p>
      <w:pPr>
        <w:pStyle w:val="BodyText"/>
      </w:pPr>
      <w:r>
        <w:t xml:space="preserve">We leveraged the posterior distribution to estimate the suitable</w:t>
      </w:r>
      <w:r>
        <w:t xml:space="preserve"> </w:t>
      </w:r>
      <w:r>
        <w:t xml:space="preserve">probability of a species for any value of MAT under fundamental or</w:t>
      </w:r>
      <w:r>
        <w:t xml:space="preserve"> </w:t>
      </w:r>
      <w:r>
        <w:t xml:space="preserve">realized niches for the cold and hot ranges. Specifically, we estimated</w:t>
      </w:r>
      <w:r>
        <w:t xml:space="preserve"> </w:t>
      </w:r>
      <w:r>
        <w:t xml:space="preserve">suitable probability under four different MAT conditions encountered by</w:t>
      </w:r>
      <w:r>
        <w:t xml:space="preserve"> </w:t>
      </w:r>
      <w:r>
        <w:t xml:space="preserve">the species: at the border and the center of each cold and hot range. We</w:t>
      </w:r>
      <w:r>
        <w:t xml:space="preserve"> </w:t>
      </w:r>
      <w:r>
        <w:t xml:space="preserve">defined the border of the cold range as the minimum observed MAT for the</w:t>
      </w:r>
      <w:r>
        <w:t xml:space="preserve"> </w:t>
      </w:r>
      <w:r>
        <w:t xml:space="preserve">focal species in the dataset, while the hot range was defined as the</w:t>
      </w:r>
      <w:r>
        <w:t xml:space="preserve"> </w:t>
      </w:r>
      <w:r>
        <w:t xml:space="preserve">maximum observed MAT. The center location is defined as the centroid of</w:t>
      </w:r>
      <w:r>
        <w:t xml:space="preserve"> </w:t>
      </w:r>
      <w:r>
        <w:t xml:space="preserve">MAT for the focal species. Although the center location has the same MAT</w:t>
      </w:r>
      <w:r>
        <w:t xml:space="preserve"> </w:t>
      </w:r>
      <w:r>
        <w:t xml:space="preserve">for the cold and hot ranges, both are retained because the model is</w:t>
      </w:r>
      <w:r>
        <w:t xml:space="preserve"> </w:t>
      </w:r>
      <w:r>
        <w:t xml:space="preserve">fitted separately for the cold and hot ranges. Finally, we estimated</w:t>
      </w:r>
      <w:r>
        <w:t xml:space="preserve"> </w:t>
      </w:r>
      <w:r>
        <w:t xml:space="preserve">suitable probability for each location under no competition (fundamental</w:t>
      </w:r>
      <w:r>
        <w:t xml:space="preserve"> </w:t>
      </w:r>
      <w:r>
        <w:t xml:space="preserve">niche) and heterospecific competition (realized niche) conditions, using</w:t>
      </w:r>
      <w:r>
        <w:t xml:space="preserve"> </w:t>
      </w:r>
      <w:r>
        <w:t xml:space="preserve">the empirical cumulative distribution function over 1000 predictive</w:t>
      </w:r>
      <w:r>
        <w:t xml:space="preserve"> </w:t>
      </w:r>
      <w:r>
        <w:t xml:space="preserve">draws.</w:t>
      </w:r>
    </w:p>
    <w:p>
      <w:pPr>
        <w:pStyle w:val="BodyText"/>
      </w:pPr>
      <w:r>
        <w:t xml:space="preserve">The code for the computation of each plot-year</w:t>
      </w:r>
      <w:r>
        <w:t xml:space="preserve"> </w:t>
      </w:r>
      <m:oMath>
        <m:r>
          <m:t>λ</m:t>
        </m:r>
      </m:oMath>
      <w:r>
        <w:t xml:space="preserve"> </w:t>
      </w:r>
      <w:r>
        <w:t xml:space="preserve">is available</w:t>
      </w:r>
      <w:r>
        <w:t xml:space="preserve"> </w:t>
      </w:r>
      <w:r>
        <w:t xml:space="preserve">at</w:t>
      </w:r>
      <w:r>
        <w:t xml:space="preserve"> </w:t>
      </w:r>
      <w:hyperlink r:id="rId27">
        <w:r>
          <w:rPr>
            <w:rStyle w:val="Hyperlink"/>
          </w:rPr>
          <w:t xml:space="preserve">https://github.com/willvieira/forest-IPM/tree/master/simulations/lambda_plot</w:t>
        </w:r>
      </w:hyperlink>
      <w:r>
        <w:t xml:space="preserve">,</w:t>
      </w:r>
      <w:r>
        <w:t xml:space="preserve"> </w:t>
      </w:r>
      <w:r>
        <w:t xml:space="preserve">and the code to model the linear model is at</w:t>
      </w:r>
      <w:r>
        <w:t xml:space="preserve"> </w:t>
      </w:r>
      <w:hyperlink r:id="rId28">
        <w:r>
          <w:rPr>
            <w:rStyle w:val="Hyperlink"/>
          </w:rPr>
          <w:t xml:space="preserve">https://github.com/willvieira/forest-IPM/tree/master/simulations/model_lambdaPlot/</w:t>
        </w:r>
      </w:hyperlink>
      <w:r>
        <w:t xml:space="preserve">.</w:t>
      </w:r>
    </w:p>
    <w:bookmarkEnd w:id="29"/>
    <w:bookmarkStart w:id="45" w:name="results"/>
    <w:p>
      <w:pPr>
        <w:pStyle w:val="Heading1"/>
      </w:pPr>
      <w:r>
        <w:t xml:space="preserve">Results</w:t>
      </w:r>
    </w:p>
    <w:bookmarkStart w:id="30" w:name="model-fit"/>
    <w:p>
      <w:pPr>
        <w:pStyle w:val="Heading3"/>
      </w:pPr>
      <w:r>
        <w:t xml:space="preserve">Model fit</w:t>
      </w:r>
    </w:p>
    <w:bookmarkEnd w:id="30"/>
    <w:p>
      <w:pPr>
        <w:pStyle w:val="FirstParagraph"/>
      </w:pPr>
      <w:r>
        <w:t xml:space="preserve">We first analyzed how the local population growth rate (</w:t>
      </w:r>
      <m:oMath>
        <m:r>
          <m:t>λ</m:t>
        </m:r>
      </m:oMath>
      <w:r>
        <w:t xml:space="preserve">) and</w:t>
      </w:r>
      <w:r>
        <w:t xml:space="preserve"> </w:t>
      </w:r>
      <w:r>
        <w:t xml:space="preserve">its variability change across the cold and hot ranges (Equation</w:t>
      </w:r>
      <w:r>
        <w:t xml:space="preserve"> </w:t>
      </w:r>
      <w:hyperlink w:anchor="eq:metamodel">
        <w:r>
          <w:rPr>
            <w:rStyle w:val="Hyperlink"/>
          </w:rPr>
          <w:t xml:space="preserve">[eq:metamodel]</w:t>
        </w:r>
      </w:hyperlink>
      <w:r>
        <w:t xml:space="preserve">). An example is provided at Figure</w:t>
      </w:r>
      <w:r>
        <w:t xml:space="preserve"> </w:t>
      </w:r>
      <w:hyperlink w:anchor="fig:res_example">
        <w:r>
          <w:rPr>
            <w:rStyle w:val="Hyperlink"/>
          </w:rPr>
          <w:t xml:space="preserve">1</w:t>
        </w:r>
      </w:hyperlink>
      <w:r>
        <w:t xml:space="preserve"> </w:t>
      </w:r>
      <w:r>
        <w:t xml:space="preserve">with the observed distribution of</w:t>
      </w:r>
      <w:r>
        <w:t xml:space="preserve"> </w:t>
      </w:r>
      <m:oMath>
        <m:r>
          <m:t>λ</m:t>
        </m:r>
      </m:oMath>
      <w:r>
        <w:t xml:space="preserve"> </w:t>
      </w:r>
      <w:r>
        <w:t xml:space="preserve">and</w:t>
      </w:r>
      <w:r>
        <w:t xml:space="preserve"> </w:t>
      </w:r>
      <w:r>
        <w:t xml:space="preserve">the fit of the underlying model on the mean annual temperature gradient</w:t>
      </w:r>
      <w:r>
        <w:t xml:space="preserve"> </w:t>
      </w:r>
      <w:r>
        <w:t xml:space="preserve">for balsam fir,</w:t>
      </w:r>
      <w:r>
        <w:t xml:space="preserve"> </w:t>
      </w:r>
      <w:r>
        <w:rPr>
          <w:i/>
        </w:rPr>
        <w:t xml:space="preserve">Abies balsamea</w:t>
      </w:r>
      <w:r>
        <w:t xml:space="preserve">. Each point represents a</w:t>
      </w:r>
      <w:r>
        <w:t xml:space="preserve"> </w:t>
      </w:r>
      <w:r>
        <w:t xml:space="preserve">plot-year-replication encompassing the complete spatio-temporal sources</w:t>
      </w:r>
      <w:r>
        <w:t xml:space="preserve"> </w:t>
      </w:r>
      <w:r>
        <w:t xml:space="preserve">of variability arising from the stochastic environment and parameter</w:t>
      </w:r>
      <w:r>
        <w:t xml:space="preserve"> </w:t>
      </w:r>
      <w:r>
        <w:t xml:space="preserve">uncertainty. The black line represents the fitted model of how</w:t>
      </w:r>
      <w:r>
        <w:t xml:space="preserve"> </w:t>
      </w:r>
      <m:oMath>
        <m:r>
          <m:t>λ</m:t>
        </m:r>
      </m:oMath>
      <w:r>
        <w:t xml:space="preserve"> </w:t>
      </w:r>
      <w:r>
        <w:t xml:space="preserve">changes with MAT, and the envelopes depict the 90th</w:t>
      </w:r>
      <w:r>
        <w:t xml:space="preserve"> </w:t>
      </w:r>
      <w:r>
        <w:t xml:space="preserve">quantiles of model distribution. From this uncertainty, we can deduce</w:t>
      </w:r>
      <w:r>
        <w:t xml:space="preserve"> </w:t>
      </w:r>
      <w:r>
        <w:t xml:space="preserve">the suitable probability. This example shows that the mean and variance</w:t>
      </w:r>
      <w:r>
        <w:t xml:space="preserve"> </w:t>
      </w:r>
      <w:r>
        <w:t xml:space="preserve">of</w:t>
      </w:r>
      <w:r>
        <w:t xml:space="preserve"> </w:t>
      </w:r>
      <m:oMath>
        <m:r>
          <m:t>λ</m:t>
        </m:r>
      </m:oMath>
      <w:r>
        <w:t xml:space="preserve"> </w:t>
      </w:r>
      <w:r>
        <w:t xml:space="preserve">decrease towards the cold border, while it does not vary</w:t>
      </w:r>
      <w:r>
        <w:t xml:space="preserve"> </w:t>
      </w:r>
      <w:r>
        <w:t xml:space="preserve">much towards the hot border. By comparing the model under heterospecific</w:t>
      </w:r>
      <w:r>
        <w:t xml:space="preserve"> </w:t>
      </w:r>
      <w:r>
        <w:t xml:space="preserve">competition with that without competition for the cold range, we</w:t>
      </w:r>
      <w:r>
        <w:t xml:space="preserve"> </w:t>
      </w:r>
      <w:r>
        <w:t xml:space="preserve">observed that while their average is similar, the uncertainty of the</w:t>
      </w:r>
      <w:r>
        <w:t xml:space="preserve"> </w:t>
      </w:r>
      <w:r>
        <w:t xml:space="preserve">model under heterospecific competition shifted downwards (Figure</w:t>
      </w:r>
      <w:r>
        <w:t xml:space="preserve"> </w:t>
      </w:r>
      <w:hyperlink w:anchor="fig:res_example">
        <w:r>
          <w:rPr>
            <w:rStyle w:val="Hyperlink"/>
          </w:rPr>
          <w:t xml:space="preserve">1</w:t>
        </w:r>
      </w:hyperlink>
      <w:r>
        <w:t xml:space="preserve">, bottom left).</w:t>
      </w:r>
    </w:p>
    <w:bookmarkStart w:id="33" w:name="fig:res_example"/>
    <w:p>
      <w:pPr>
        <w:pStyle w:val="CaptionedFigure"/>
      </w:pPr>
      <w:bookmarkStart w:id="32" w:name="fig:res_example"/>
      <w:r>
        <w:drawing>
          <wp:inline>
            <wp:extent cx="5943600" cy="4457700"/>
            <wp:effectExtent b="0" l="0" r="0" t="0"/>
            <wp:docPr descr="Distribution of stochastic population growth rate (\lambda) for Abies balsamea over the mean annual temperature gradient for different conditions. Species’ population are split into cold (left panels) and hot (right panels) ranges under no competition (fundamental niche) and heterospecific competition (realized niche). The dots represent \lambda over the plot-year-replication combinations. The model’s average line and 90% prediction intervals are estimated using 500 draws from the posterior distribution." title="" id="1" name="Picture"/>
            <a:graphic>
              <a:graphicData uri="http://schemas.openxmlformats.org/drawingml/2006/picture">
                <pic:pic>
                  <pic:nvPicPr>
                    <pic:cNvPr descr="https://willvieira.github.io/book_forest-demography-IPM/extinction_risk_files/figure-html/fig-res_example-1.png" id="0" name="Picture"/>
                    <pic:cNvPicPr>
                      <a:picLocks noChangeArrowheads="1" noChangeAspect="1"/>
                    </pic:cNvPicPr>
                  </pic:nvPicPr>
                  <pic:blipFill>
                    <a:blip r:embed="rId31"/>
                    <a:stretch>
                      <a:fillRect/>
                    </a:stretch>
                  </pic:blipFill>
                  <pic:spPr bwMode="auto">
                    <a:xfrm>
                      <a:off x="0" y="0"/>
                      <a:ext cx="5943600" cy="4457700"/>
                    </a:xfrm>
                    <a:prstGeom prst="rect">
                      <a:avLst/>
                    </a:prstGeom>
                    <a:noFill/>
                    <a:ln w="9525">
                      <a:noFill/>
                      <a:headEnd/>
                      <a:tailEnd/>
                    </a:ln>
                  </pic:spPr>
                </pic:pic>
              </a:graphicData>
            </a:graphic>
          </wp:inline>
        </w:drawing>
      </w:r>
      <w:bookmarkEnd w:id="32"/>
    </w:p>
    <w:p>
      <w:pPr>
        <w:pStyle w:val="ImageCaption"/>
      </w:pPr>
      <w:r>
        <w:t xml:space="preserve">Distribution of stochastic population growth rate (</w:t>
      </w:r>
      <m:oMath>
        <m:r>
          <m:t>λ</m:t>
        </m:r>
      </m:oMath>
      <w:r>
        <w:t xml:space="preserve">)</w:t>
      </w:r>
      <w:r>
        <w:t xml:space="preserve"> </w:t>
      </w:r>
      <w:r>
        <w:t xml:space="preserve">for</w:t>
      </w:r>
      <w:r>
        <w:t xml:space="preserve"> </w:t>
      </w:r>
      <w:r>
        <w:rPr>
          <w:i/>
        </w:rPr>
        <w:t xml:space="preserve">Abies balsamea</w:t>
      </w:r>
      <w:r>
        <w:t xml:space="preserve"> </w:t>
      </w:r>
      <w:r>
        <w:t xml:space="preserve">over the mean annual temperature gradient for</w:t>
      </w:r>
      <w:r>
        <w:t xml:space="preserve"> </w:t>
      </w:r>
      <w:r>
        <w:t xml:space="preserve">different conditions. Species’ population are split into cold (left</w:t>
      </w:r>
      <w:r>
        <w:t xml:space="preserve"> </w:t>
      </w:r>
      <w:r>
        <w:t xml:space="preserve">panels) and hot (right panels) ranges under no competition (fundamental</w:t>
      </w:r>
      <w:r>
        <w:t xml:space="preserve"> </w:t>
      </w:r>
      <w:r>
        <w:t xml:space="preserve">niche) and heterospecific competition (realized niche). The dots</w:t>
      </w:r>
      <w:r>
        <w:t xml:space="preserve"> </w:t>
      </w:r>
      <w:r>
        <w:t xml:space="preserve">represent</w:t>
      </w:r>
      <w:r>
        <w:t xml:space="preserve"> </w:t>
      </w:r>
      <m:oMath>
        <m:r>
          <m:t>λ</m:t>
        </m:r>
      </m:oMath>
      <w:r>
        <w:t xml:space="preserve"> </w:t>
      </w:r>
      <w:r>
        <w:t xml:space="preserve">over the plot-year-replication combinations. The</w:t>
      </w:r>
      <w:r>
        <w:t xml:space="preserve"> </w:t>
      </w:r>
      <w:r>
        <w:t xml:space="preserve">model’s average line and 90% prediction intervals are estimated using</w:t>
      </w:r>
      <w:r>
        <w:t xml:space="preserve"> </w:t>
      </w:r>
      <w:r>
        <w:t xml:space="preserve">500 draws from the posterior distribution.</w:t>
      </w:r>
    </w:p>
    <w:bookmarkEnd w:id="33"/>
    <w:p>
      <w:pPr>
        <w:pStyle w:val="BodyText"/>
      </w:pPr>
      <w:r>
        <w:t xml:space="preserve">We then investigated the local suitability probability using the</w:t>
      </w:r>
      <w:r>
        <w:t xml:space="preserve"> </w:t>
      </w:r>
      <w:r>
        <w:t xml:space="preserve">empirical cumulative distribution approach (Equation</w:t>
      </w:r>
      <w:r>
        <w:t xml:space="preserve"> </w:t>
      </w:r>
      <w:hyperlink w:anchor="eq:sp">
        <w:r>
          <w:rPr>
            <w:rStyle w:val="Hyperlink"/>
          </w:rPr>
          <w:t xml:space="preserve">[eq:sp]</w:t>
        </w:r>
      </w:hyperlink>
      <w:r>
        <w:t xml:space="preserve">) from</w:t>
      </w:r>
      <w:r>
        <w:t xml:space="preserve"> </w:t>
      </w:r>
      <w:r>
        <w:t xml:space="preserve">the linear model predictions. The Figure</w:t>
      </w:r>
      <w:r>
        <w:t xml:space="preserve"> </w:t>
      </w:r>
      <w:hyperlink w:anchor="fig:sp-example">
        <w:r>
          <w:rPr>
            <w:rStyle w:val="Hyperlink"/>
          </w:rPr>
          <w:t xml:space="preserve">2</w:t>
        </w:r>
      </w:hyperlink>
      <w:r>
        <w:t xml:space="preserve"> </w:t>
      </w:r>
      <w:r>
        <w:t xml:space="preserve">shows the</w:t>
      </w:r>
      <w:r>
        <w:t xml:space="preserve"> </w:t>
      </w:r>
      <w:r>
        <w:t xml:space="preserve">suitable probability expected over the mean annual temperature of the</w:t>
      </w:r>
      <w:r>
        <w:t xml:space="preserve"> </w:t>
      </w:r>
      <w:r>
        <w:t xml:space="preserve">same species. We observed that the local suitability probability was</w:t>
      </w:r>
      <w:r>
        <w:t xml:space="preserve"> </w:t>
      </w:r>
      <w:r>
        <w:t xml:space="preserve">reduced towards the cold border, with a stronger reduction under</w:t>
      </w:r>
      <w:r>
        <w:t xml:space="preserve"> </w:t>
      </w:r>
      <w:r>
        <w:t xml:space="preserve">heterospecific competition (yellow curve). We can also observe that the</w:t>
      </w:r>
      <w:r>
        <w:t xml:space="preserve"> </w:t>
      </w:r>
      <w:r>
        <w:t xml:space="preserve">decrease in suitable probability towards the border is nonlinear,</w:t>
      </w:r>
      <w:r>
        <w:t xml:space="preserve"> </w:t>
      </w:r>
      <w:r>
        <w:t xml:space="preserve">becoming more substantial for heterospecific competition than for the</w:t>
      </w:r>
      <w:r>
        <w:t xml:space="preserve"> </w:t>
      </w:r>
      <w:r>
        <w:t xml:space="preserve">no-competition condition.</w:t>
      </w:r>
    </w:p>
    <w:p>
      <w:pPr>
        <w:pStyle w:val="BodyText"/>
      </w:pPr>
      <w:r>
        <w:t xml:space="preserve">The model fit and the estimation of suitable probability across the</w:t>
      </w:r>
      <w:r>
        <w:t xml:space="preserve"> </w:t>
      </w:r>
      <w:r>
        <w:t xml:space="preserve">temperature gradient for all species are presented in Supplementary</w:t>
      </w:r>
      <w:r>
        <w:t xml:space="preserve"> </w:t>
      </w:r>
      <w:r>
        <w:t xml:space="preserve">Material 2. We observed for most species a decrease of the climate</w:t>
      </w:r>
      <w:r>
        <w:t xml:space="preserve"> </w:t>
      </w:r>
      <w:r>
        <w:t xml:space="preserve">effect at one border while the other remained unchanged. Additionally, a</w:t>
      </w:r>
      <w:r>
        <w:t xml:space="preserve"> </w:t>
      </w:r>
      <w:r>
        <w:t xml:space="preserve">few species displayed a clear linear pattern of decreasing suitable</w:t>
      </w:r>
      <w:r>
        <w:t xml:space="preserve"> </w:t>
      </w:r>
      <w:r>
        <w:t xml:space="preserve">probability from the cold to the hot border, with only one species</w:t>
      </w:r>
      <w:r>
        <w:t xml:space="preserve"> </w:t>
      </w:r>
      <w:r>
        <w:t xml:space="preserve">(</w:t>
      </w:r>
      <w:r>
        <w:rPr>
          <w:i/>
        </w:rPr>
        <w:t xml:space="preserve">Betula papyrifera</w:t>
      </w:r>
      <w:r>
        <w:t xml:space="preserve">) having a decrease at both borders.</w:t>
      </w:r>
      <w:r>
        <w:t xml:space="preserve"> </w:t>
      </w:r>
      <w:r>
        <w:t xml:space="preserve">Conversely, under the competition effect, most species exhibited a</w:t>
      </w:r>
      <w:r>
        <w:t xml:space="preserve"> </w:t>
      </w:r>
      <w:r>
        <w:t xml:space="preserve">decrease in suitable probability at the hot border and an increase at</w:t>
      </w:r>
      <w:r>
        <w:t xml:space="preserve"> </w:t>
      </w:r>
      <w:r>
        <w:t xml:space="preserve">the cold border, indicating a linear rise in the impact of competition</w:t>
      </w:r>
      <w:r>
        <w:t xml:space="preserve"> </w:t>
      </w:r>
      <w:r>
        <w:t xml:space="preserve">from the cold to the hot border of the distribution.</w:t>
      </w:r>
    </w:p>
    <w:bookmarkStart w:id="36" w:name="fig:sp-example"/>
    <w:p>
      <w:pPr>
        <w:pStyle w:val="CaptionedFigure"/>
      </w:pPr>
      <w:bookmarkStart w:id="35" w:name="fig:sp-example"/>
      <w:r>
        <w:drawing>
          <wp:inline>
            <wp:extent cx="5943600" cy="2600325"/>
            <wp:effectExtent b="0" l="0" r="0" t="0"/>
            <wp:docPr descr="Suitable probability of Abies balsamea over the mean annual temperature gradient for cold and hot ranges under no competition (green) and heterospecific (yellow). The vertical dotted line represents the range limits of the MAT observed in the dataset." title="" id="1" name="Picture"/>
            <a:graphic>
              <a:graphicData uri="http://schemas.openxmlformats.org/drawingml/2006/picture">
                <pic:pic>
                  <pic:nvPicPr>
                    <pic:cNvPr descr="https://willvieira.github.io/book_forest-demography-IPM/extinction_risk_files/figure-html/fig-sp-example-1.png" id="0" name="Picture"/>
                    <pic:cNvPicPr>
                      <a:picLocks noChangeArrowheads="1" noChangeAspect="1"/>
                    </pic:cNvPicPr>
                  </pic:nvPicPr>
                  <pic:blipFill>
                    <a:blip r:embed="rId34"/>
                    <a:stretch>
                      <a:fillRect/>
                    </a:stretch>
                  </pic:blipFill>
                  <pic:spPr bwMode="auto">
                    <a:xfrm>
                      <a:off x="0" y="0"/>
                      <a:ext cx="5943600" cy="2600325"/>
                    </a:xfrm>
                    <a:prstGeom prst="rect">
                      <a:avLst/>
                    </a:prstGeom>
                    <a:noFill/>
                    <a:ln w="9525">
                      <a:noFill/>
                      <a:headEnd/>
                      <a:tailEnd/>
                    </a:ln>
                  </pic:spPr>
                </pic:pic>
              </a:graphicData>
            </a:graphic>
          </wp:inline>
        </w:drawing>
      </w:r>
      <w:bookmarkEnd w:id="35"/>
    </w:p>
    <w:p>
      <w:pPr>
        <w:pStyle w:val="ImageCaption"/>
      </w:pPr>
      <w:r>
        <w:t xml:space="preserve">Suitable probability of</w:t>
      </w:r>
      <w:r>
        <w:t xml:space="preserve"> </w:t>
      </w:r>
      <w:r>
        <w:rPr>
          <w:i/>
        </w:rPr>
        <w:t xml:space="preserve">Abies balsamea</w:t>
      </w:r>
      <w:r>
        <w:t xml:space="preserve"> </w:t>
      </w:r>
      <w:r>
        <w:t xml:space="preserve">over the mean</w:t>
      </w:r>
      <w:r>
        <w:t xml:space="preserve"> </w:t>
      </w:r>
      <w:r>
        <w:t xml:space="preserve">annual temperature gradient for cold and hot ranges under no competition</w:t>
      </w:r>
      <w:r>
        <w:t xml:space="preserve"> </w:t>
      </w:r>
      <w:r>
        <w:t xml:space="preserve">(green) and heterospecific (yellow). The vertical dotted line represents</w:t>
      </w:r>
      <w:r>
        <w:t xml:space="preserve"> </w:t>
      </w:r>
      <w:r>
        <w:t xml:space="preserve">the range limits of the MAT observed in the</w:t>
      </w:r>
      <w:r>
        <w:t xml:space="preserve"> </w:t>
      </w:r>
      <w:r>
        <w:t xml:space="preserve">dataset.</w:t>
      </w:r>
    </w:p>
    <w:bookmarkEnd w:id="36"/>
    <w:bookmarkStart w:id="37" w:name="X986f4223c70feaf5898ebfab6dcde3f7d1ae83b"/>
    <w:p>
      <w:pPr>
        <w:pStyle w:val="Heading3"/>
      </w:pPr>
      <w:r>
        <w:t xml:space="preserve">Effect of climate and competition on suitable probability</w:t>
      </w:r>
      <w:r>
        <w:t xml:space="preserve"> </w:t>
      </w:r>
      <w:r>
        <w:t xml:space="preserve">for the center and border</w:t>
      </w:r>
      <w:r>
        <w:t xml:space="preserve"> </w:t>
      </w:r>
      <w:r>
        <w:t xml:space="preserve">distributions</w:t>
      </w:r>
    </w:p>
    <w:bookmarkEnd w:id="37"/>
    <w:p>
      <w:pPr>
        <w:pStyle w:val="FirstParagraph"/>
      </w:pPr>
      <w:r>
        <w:t xml:space="preserve">We investigated the effect of climate and competition on the suitable</w:t>
      </w:r>
      <w:r>
        <w:t xml:space="preserve"> </w:t>
      </w:r>
      <w:r>
        <w:t xml:space="preserve">probability at the border and center of the temperature range</w:t>
      </w:r>
      <w:r>
        <w:t xml:space="preserve"> </w:t>
      </w:r>
      <w:r>
        <w:t xml:space="preserve">distribution for all species. Because the border and center positions</w:t>
      </w:r>
      <w:r>
        <w:t xml:space="preserve"> </w:t>
      </w:r>
      <w:r>
        <w:t xml:space="preserve">are relative to each species, we could not represent the continuous</w:t>
      </w:r>
      <w:r>
        <w:t xml:space="preserve"> </w:t>
      </w:r>
      <w:r>
        <w:t xml:space="preserve">trend in suitable probability across the MAT for all 31 species</w:t>
      </w:r>
      <w:r>
        <w:t xml:space="preserve"> </w:t>
      </w:r>
      <w:r>
        <w:t xml:space="preserve">together. Instead, we extracted the local suitable probability with and</w:t>
      </w:r>
      <w:r>
        <w:t xml:space="preserve"> </w:t>
      </w:r>
      <w:r>
        <w:t xml:space="preserve">without heterospecific competition for four locations across the MAT</w:t>
      </w:r>
      <w:r>
        <w:t xml:space="preserve"> </w:t>
      </w:r>
      <w:r>
        <w:t xml:space="preserve">gradient (Figure</w:t>
      </w:r>
      <w:r>
        <w:t xml:space="preserve"> </w:t>
      </w:r>
      <w:hyperlink w:anchor="fig:sp_comp_vs_nocomp2">
        <w:r>
          <w:rPr>
            <w:rStyle w:val="Hyperlink"/>
          </w:rPr>
          <w:t xml:space="preserve">3</w:t>
        </w:r>
      </w:hyperlink>
      <w:r>
        <w:t xml:space="preserve">). Overall, suitable</w:t>
      </w:r>
      <w:r>
        <w:t xml:space="preserve"> </w:t>
      </w:r>
      <w:r>
        <w:t xml:space="preserve">probability was high among the species, with an average of 0.78. Among</w:t>
      </w:r>
      <w:r>
        <w:t xml:space="preserve"> </w:t>
      </w:r>
      <w:r>
        <w:t xml:space="preserve">the four locations, species presented a lower suitable probability at</w:t>
      </w:r>
      <w:r>
        <w:t xml:space="preserve"> </w:t>
      </w:r>
      <w:r>
        <w:t xml:space="preserve">the border of the hot range, with an average of 0.67. Across the</w:t>
      </w:r>
      <w:r>
        <w:t xml:space="preserve"> </w:t>
      </w:r>
      <w:r>
        <w:t xml:space="preserve">temperature range, there is a monotonic decrease in suitable probability</w:t>
      </w:r>
      <w:r>
        <w:t xml:space="preserve"> </w:t>
      </w:r>
      <w:r>
        <w:t xml:space="preserve">from the cold border toward the hot border.</w:t>
      </w:r>
    </w:p>
    <w:bookmarkStart w:id="40" w:name="fig:sp_comp_vs_nocomp2"/>
    <w:p>
      <w:pPr>
        <w:pStyle w:val="CaptionedFigure"/>
      </w:pPr>
      <w:bookmarkStart w:id="39" w:name="fig:sp_comp_vs_nocomp2"/>
      <w:r>
        <w:drawing>
          <wp:inline>
            <wp:extent cx="5943600" cy="2971800"/>
            <wp:effectExtent b="0" l="0" r="0" t="0"/>
            <wp:docPr descr="Estimated suitable probability for the 31 forest species across the center and border of the cold and hot ranges. The x-axis represents the mean annual temperature gradient similar to Figure 2, but is discretized at the border and center limits relative to each species. We highlighted the balsam fir species in red. Note that we omitted the parameter uncertainty of each species in this figure to avoid overlap and increase clarity." title="" id="1" name="Picture"/>
            <a:graphic>
              <a:graphicData uri="http://schemas.openxmlformats.org/drawingml/2006/picture">
                <pic:pic>
                  <pic:nvPicPr>
                    <pic:cNvPr descr="https://willvieira.github.io/book_forest-demography-IPM/extinction_risk_files/figure-html/fig-sp_comp_vs_nocomp2-1.png" id="0" name="Picture"/>
                    <pic:cNvPicPr>
                      <a:picLocks noChangeArrowheads="1" noChangeAspect="1"/>
                    </pic:cNvPicPr>
                  </pic:nvPicPr>
                  <pic:blipFill>
                    <a:blip r:embed="rId38"/>
                    <a:stretch>
                      <a:fillRect/>
                    </a:stretch>
                  </pic:blipFill>
                  <pic:spPr bwMode="auto">
                    <a:xfrm>
                      <a:off x="0" y="0"/>
                      <a:ext cx="5943600" cy="2971800"/>
                    </a:xfrm>
                    <a:prstGeom prst="rect">
                      <a:avLst/>
                    </a:prstGeom>
                    <a:noFill/>
                    <a:ln w="9525">
                      <a:noFill/>
                      <a:headEnd/>
                      <a:tailEnd/>
                    </a:ln>
                  </pic:spPr>
                </pic:pic>
              </a:graphicData>
            </a:graphic>
          </wp:inline>
        </w:drawing>
      </w:r>
      <w:bookmarkEnd w:id="39"/>
    </w:p>
    <w:p>
      <w:pPr>
        <w:pStyle w:val="ImageCaption"/>
      </w:pPr>
      <w:r>
        <w:t xml:space="preserve">Estimated suitable probability for the 31 forest species across</w:t>
      </w:r>
      <w:r>
        <w:t xml:space="preserve"> </w:t>
      </w:r>
      <w:r>
        <w:t xml:space="preserve">the center and border of the cold and hot ranges. The x-axis represents</w:t>
      </w:r>
      <w:r>
        <w:t xml:space="preserve"> </w:t>
      </w:r>
      <w:r>
        <w:t xml:space="preserve">the mean annual temperature gradient similar to Figure</w:t>
      </w:r>
      <w:r>
        <w:t xml:space="preserve"> </w:t>
      </w:r>
      <w:hyperlink w:anchor="fig:sp-example">
        <w:r>
          <w:rPr>
            <w:rStyle w:val="Hyperlink"/>
          </w:rPr>
          <w:t xml:space="preserve">2</w:t>
        </w:r>
      </w:hyperlink>
      <w:r>
        <w:t xml:space="preserve">, but is discretized at the border and center limits</w:t>
      </w:r>
      <w:r>
        <w:t xml:space="preserve"> </w:t>
      </w:r>
      <w:r>
        <w:t xml:space="preserve">relative to each species. We highlighted the balsam fir species in red.</w:t>
      </w:r>
      <w:r>
        <w:t xml:space="preserve"> </w:t>
      </w:r>
      <w:r>
        <w:t xml:space="preserve">Note that we omitted the parameter uncertainty of each species in this</w:t>
      </w:r>
      <w:r>
        <w:t xml:space="preserve"> </w:t>
      </w:r>
      <w:r>
        <w:t xml:space="preserve">figure to avoid overlap and increase</w:t>
      </w:r>
      <w:r>
        <w:t xml:space="preserve"> </w:t>
      </w:r>
      <w:r>
        <w:t xml:space="preserve">clarity.</w:t>
      </w:r>
    </w:p>
    <w:bookmarkEnd w:id="40"/>
    <w:p>
      <w:pPr>
        <w:pStyle w:val="BodyText"/>
      </w:pPr>
      <w:r>
        <w:t xml:space="preserve">We further disentangle the influence of competition from that of climate</w:t>
      </w:r>
      <w:r>
        <w:t xml:space="preserve"> </w:t>
      </w:r>
      <w:r>
        <w:t xml:space="preserve">by calculating the difference between suitable probability under</w:t>
      </w:r>
      <w:r>
        <w:t xml:space="preserve"> </w:t>
      </w:r>
      <w:r>
        <w:t xml:space="preserve">heterospecific competition and without competition. A negative</w:t>
      </w:r>
      <w:r>
        <w:t xml:space="preserve"> </w:t>
      </w:r>
      <w:r>
        <w:t xml:space="preserve">difference signifies competition reduces suitable probability, while</w:t>
      </w:r>
      <w:r>
        <w:t xml:space="preserve"> </w:t>
      </w:r>
      <w:r>
        <w:t xml:space="preserve">positive differences indicate an increase. Across the four climate</w:t>
      </w:r>
      <w:r>
        <w:t xml:space="preserve"> </w:t>
      </w:r>
      <w:r>
        <w:t xml:space="preserve">locations, heterospecific competition consistently reduced suitable</w:t>
      </w:r>
      <w:r>
        <w:t xml:space="preserve"> </w:t>
      </w:r>
      <w:r>
        <w:t xml:space="preserve">probability for most species, with the magnitude of reduction</w:t>
      </w:r>
      <w:r>
        <w:t xml:space="preserve"> </w:t>
      </w:r>
      <w:r>
        <w:t xml:space="preserve">intensifying from the cold to the hot border (Figure S1). This suggests</w:t>
      </w:r>
      <w:r>
        <w:t xml:space="preserve"> </w:t>
      </w:r>
      <w:r>
        <w:t xml:space="preserve">that the decline in suitable probability observed from the cold to the</w:t>
      </w:r>
      <w:r>
        <w:t xml:space="preserve"> </w:t>
      </w:r>
      <w:r>
        <w:t xml:space="preserve">hot border (Figure</w:t>
      </w:r>
      <w:r>
        <w:t xml:space="preserve"> </w:t>
      </w:r>
      <w:hyperlink w:anchor="fig:sp_comp_vs_nocomp2">
        <w:r>
          <w:rPr>
            <w:rStyle w:val="Hyperlink"/>
          </w:rPr>
          <w:t xml:space="preserve">3</w:t>
        </w:r>
      </w:hyperlink>
      <w:r>
        <w:t xml:space="preserve">) results from the</w:t>
      </w:r>
      <w:r>
        <w:t xml:space="preserve"> </w:t>
      </w:r>
      <w:r>
        <w:t xml:space="preserve">combined effect of climate and competition.</w:t>
      </w:r>
    </w:p>
    <w:bookmarkStart w:id="41" w:name="Xe86c48870cd6d97e8ccddec37ec051c5cc9996d"/>
    <w:p>
      <w:pPr>
        <w:pStyle w:val="Heading3"/>
      </w:pPr>
      <w:r>
        <w:t xml:space="preserve">Suitable probability change from center to</w:t>
      </w:r>
      <w:r>
        <w:t xml:space="preserve"> </w:t>
      </w:r>
      <w:r>
        <w:t xml:space="preserve">border</w:t>
      </w:r>
    </w:p>
    <w:bookmarkEnd w:id="41"/>
    <w:p>
      <w:pPr>
        <w:pStyle w:val="FirstParagraph"/>
      </w:pPr>
      <w:r>
        <w:t xml:space="preserve">We investigated the relative effect of climate and competition on</w:t>
      </w:r>
      <w:r>
        <w:t xml:space="preserve"> </w:t>
      </w:r>
      <w:r>
        <w:t xml:space="preserve">changing suitable probability from the center to the border of the</w:t>
      </w:r>
      <w:r>
        <w:t xml:space="preserve"> </w:t>
      </w:r>
      <w:r>
        <w:t xml:space="preserve">species distribution (Figure</w:t>
      </w:r>
      <w:r>
        <w:t xml:space="preserve"> </w:t>
      </w:r>
      <w:hyperlink w:anchor="fig:diff_sp_hist">
        <w:r>
          <w:rPr>
            <w:rStyle w:val="Hyperlink"/>
          </w:rPr>
          <w:t xml:space="preserve">4</w:t>
        </w:r>
      </w:hyperlink>
      <w:r>
        <w:t xml:space="preserve">). A positive</w:t>
      </w:r>
      <w:r>
        <w:t xml:space="preserve"> </w:t>
      </w:r>
      <w:r>
        <w:t xml:space="preserve">relative difference indicates an increase in suitable probability from</w:t>
      </w:r>
      <w:r>
        <w:t xml:space="preserve"> </w:t>
      </w:r>
      <w:r>
        <w:t xml:space="preserve">the center towards the border, while a negative difference indicates a</w:t>
      </w:r>
      <w:r>
        <w:t xml:space="preserve"> </w:t>
      </w:r>
      <w:r>
        <w:t xml:space="preserve">decrease. Most species exhibited a decrease in suitable probability at</w:t>
      </w:r>
      <w:r>
        <w:t xml:space="preserve"> </w:t>
      </w:r>
      <w:r>
        <w:t xml:space="preserve">the hot border relative to the center. Alternatively, most species</w:t>
      </w:r>
      <w:r>
        <w:t xml:space="preserve"> </w:t>
      </w:r>
      <w:r>
        <w:t xml:space="preserve">showed a reduction in the effect of competition toward the cold border.</w:t>
      </w:r>
      <w:r>
        <w:t xml:space="preserve"> </w:t>
      </w:r>
      <w:r>
        <w:t xml:space="preserve">However, the climate effect in the cold range was more variable, with</w:t>
      </w:r>
      <w:r>
        <w:t xml:space="preserve"> </w:t>
      </w:r>
      <w:r>
        <w:t xml:space="preserve">some species experiencing an increase and others a decrease in suitable</w:t>
      </w:r>
      <w:r>
        <w:t xml:space="preserve"> </w:t>
      </w:r>
      <w:r>
        <w:t xml:space="preserve">probability (Figure S2). Overall, the relative difference in suitable</w:t>
      </w:r>
      <w:r>
        <w:t xml:space="preserve"> </w:t>
      </w:r>
      <w:r>
        <w:t xml:space="preserve">probability from the center toward the cold and hot borders was more</w:t>
      </w:r>
      <w:r>
        <w:t xml:space="preserve"> </w:t>
      </w:r>
      <w:r>
        <w:t xml:space="preserve">influenced by climate rather than competition.</w:t>
      </w:r>
    </w:p>
    <w:bookmarkStart w:id="44" w:name="fig:diff_sp_hist"/>
    <w:p>
      <w:pPr>
        <w:pStyle w:val="CaptionedFigure"/>
      </w:pPr>
      <w:bookmarkStart w:id="43" w:name="fig:diff_sp_hist"/>
      <w:r>
        <w:drawing>
          <wp:inline>
            <wp:extent cx="5943600" cy="2600325"/>
            <wp:effectExtent b="0" l="0" r="0" t="0"/>
            <wp:docPr descr="Difference in suitable probability for climate and competition effects over the cold and hot ranges. Negative values denote a decrease in species suitable probability from the center towards the distribution border, while positive values indicate an increase. Specifically, a negative value for climate at the hot (or cold) range signifies a reduction in suitable probability as temperature rises (or falls) towards the border. Boxplots determine the 25-75 quantile distribution among the species." title="" id="1" name="Picture"/>
            <a:graphic>
              <a:graphicData uri="http://schemas.openxmlformats.org/drawingml/2006/picture">
                <pic:pic>
                  <pic:nvPicPr>
                    <pic:cNvPr descr="https://willvieira.github.io/book_forest-demography-IPM/extinction_risk_files/figure-html/fig-diff_sp_hist-1.png" id="0" name="Picture"/>
                    <pic:cNvPicPr>
                      <a:picLocks noChangeArrowheads="1" noChangeAspect="1"/>
                    </pic:cNvPicPr>
                  </pic:nvPicPr>
                  <pic:blipFill>
                    <a:blip r:embed="rId42"/>
                    <a:stretch>
                      <a:fillRect/>
                    </a:stretch>
                  </pic:blipFill>
                  <pic:spPr bwMode="auto">
                    <a:xfrm>
                      <a:off x="0" y="0"/>
                      <a:ext cx="5943600" cy="2600325"/>
                    </a:xfrm>
                    <a:prstGeom prst="rect">
                      <a:avLst/>
                    </a:prstGeom>
                    <a:noFill/>
                    <a:ln w="9525">
                      <a:noFill/>
                      <a:headEnd/>
                      <a:tailEnd/>
                    </a:ln>
                  </pic:spPr>
                </pic:pic>
              </a:graphicData>
            </a:graphic>
          </wp:inline>
        </w:drawing>
      </w:r>
      <w:bookmarkEnd w:id="43"/>
    </w:p>
    <w:p>
      <w:pPr>
        <w:pStyle w:val="ImageCaption"/>
      </w:pPr>
      <w:r>
        <w:t xml:space="preserve">Difference in suitable probability for climate and competition</w:t>
      </w:r>
      <w:r>
        <w:t xml:space="preserve"> </w:t>
      </w:r>
      <w:r>
        <w:t xml:space="preserve">effects over the cold and hot ranges. Negative values denote a decrease</w:t>
      </w:r>
      <w:r>
        <w:t xml:space="preserve"> </w:t>
      </w:r>
      <w:r>
        <w:t xml:space="preserve">in species suitable probability from the center towards the distribution</w:t>
      </w:r>
      <w:r>
        <w:t xml:space="preserve"> </w:t>
      </w:r>
      <w:r>
        <w:t xml:space="preserve">border, while positive values indicate an increase. Specifically, a</w:t>
      </w:r>
      <w:r>
        <w:t xml:space="preserve"> </w:t>
      </w:r>
      <w:r>
        <w:t xml:space="preserve">negative value for climate at the hot (or cold) range signifies a</w:t>
      </w:r>
      <w:r>
        <w:t xml:space="preserve"> </w:t>
      </w:r>
      <w:r>
        <w:t xml:space="preserve">reduction in suitable probability as temperature rises (or falls)</w:t>
      </w:r>
      <w:r>
        <w:t xml:space="preserve"> </w:t>
      </w:r>
      <w:r>
        <w:t xml:space="preserve">towards the border. Boxplots determine the 25-75 quantile distribution</w:t>
      </w:r>
      <w:r>
        <w:t xml:space="preserve"> </w:t>
      </w:r>
      <w:r>
        <w:t xml:space="preserve">among the species.</w:t>
      </w:r>
    </w:p>
    <w:bookmarkEnd w:id="44"/>
    <w:bookmarkEnd w:id="45"/>
    <w:bookmarkStart w:id="46" w:name="discussion"/>
    <w:p>
      <w:pPr>
        <w:pStyle w:val="Heading1"/>
      </w:pPr>
      <w:r>
        <w:t xml:space="preserve">Discussion</w:t>
      </w:r>
    </w:p>
    <w:p>
      <w:pPr>
        <w:pStyle w:val="FirstParagraph"/>
      </w:pPr>
      <w:r>
        <w:t xml:space="preserve">Understanding the mechanisms shaping species distribution is imperative</w:t>
      </w:r>
      <w:r>
        <w:t xml:space="preserve"> </w:t>
      </w:r>
      <w:r>
        <w:t xml:space="preserve">to face ongoing global changes. We acknowledged and integrated various</w:t>
      </w:r>
      <w:r>
        <w:t xml:space="preserve"> </w:t>
      </w:r>
      <w:r>
        <w:t xml:space="preserve">sources of variability in the population growth rate of forest trees,</w:t>
      </w:r>
      <w:r>
        <w:t xml:space="preserve"> </w:t>
      </w:r>
      <w:r>
        <w:t xml:space="preserve">contributing to an improved understanding of forest dynamics in an</w:t>
      </w:r>
      <w:r>
        <w:t xml:space="preserve"> </w:t>
      </w:r>
      <w:r>
        <w:t xml:space="preserve">uncertain world. Introducing a novel metric, we quantified the relative</w:t>
      </w:r>
      <w:r>
        <w:t xml:space="preserve"> </w:t>
      </w:r>
      <w:r>
        <w:t xml:space="preserve">impacts of climate and competition on the change in suitable probability</w:t>
      </w:r>
      <w:r>
        <w:t xml:space="preserve"> </w:t>
      </w:r>
      <w:r>
        <w:t xml:space="preserve">across species distributions. Our findings revealed a nearly linear</w:t>
      </w:r>
      <w:r>
        <w:t xml:space="preserve"> </w:t>
      </w:r>
      <w:r>
        <w:t xml:space="preserve">reduction in suitable probability from the cold to hot borders. Notably,</w:t>
      </w:r>
      <w:r>
        <w:t xml:space="preserve"> </w:t>
      </w:r>
      <w:r>
        <w:t xml:space="preserve">the predominant influence on the relative difference in suitable</w:t>
      </w:r>
      <w:r>
        <w:t xml:space="preserve"> </w:t>
      </w:r>
      <w:r>
        <w:t xml:space="preserve">probability from the center toward the border was attributed to climate</w:t>
      </w:r>
      <w:r>
        <w:t xml:space="preserve"> </w:t>
      </w:r>
      <w:r>
        <w:t xml:space="preserve">rather than competition. These results, supported by a novel approach</w:t>
      </w:r>
      <w:r>
        <w:t xml:space="preserve"> </w:t>
      </w:r>
      <w:r>
        <w:t xml:space="preserve">accounting for uncertainty, enhance our understanding of the nuanced</w:t>
      </w:r>
      <w:r>
        <w:t xml:space="preserve"> </w:t>
      </w:r>
      <w:r>
        <w:t xml:space="preserve">interplay between climate and competition across species ranges.</w:t>
      </w:r>
    </w:p>
    <w:p>
      <w:pPr>
        <w:pStyle w:val="BodyText"/>
      </w:pPr>
      <w:r>
        <w:t xml:space="preserve">The suitable probability was high across all species and range</w:t>
      </w:r>
      <w:r>
        <w:t xml:space="preserve"> </w:t>
      </w:r>
      <w:r>
        <w:t xml:space="preserve">locations, with only around 5% of all species-location combinations</w:t>
      </w:r>
      <w:r>
        <w:t xml:space="preserve"> </w:t>
      </w:r>
      <w:r>
        <w:t xml:space="preserve">having a suitable probability below the 0.5 threshold. This is primarily</w:t>
      </w:r>
      <w:r>
        <w:t xml:space="preserve"> </w:t>
      </w:r>
      <w:r>
        <w:t xml:space="preserve">attributed to most species exhibiting a high positive population growth</w:t>
      </w:r>
      <w:r>
        <w:t xml:space="preserve"> </w:t>
      </w:r>
      <w:r>
        <w:t xml:space="preserve">rate across their current range distribution. Additionally, the</w:t>
      </w:r>
      <w:r>
        <w:t xml:space="preserve"> </w:t>
      </w:r>
      <w:r>
        <w:t xml:space="preserve">spatio-temporal variability in the environment and the parameter</w:t>
      </w:r>
      <w:r>
        <w:t xml:space="preserve"> </w:t>
      </w:r>
      <w:r>
        <w:t xml:space="preserve">uncertainty in the plot may contribute to the elevated average</w:t>
      </w:r>
      <w:r>
        <w:t xml:space="preserve"> </w:t>
      </w:r>
      <w:r>
        <w:t xml:space="preserve">population growth rate due to nonlinear averaging. This aligns with</w:t>
      </w:r>
      <w:r>
        <w:t xml:space="preserve"> </w:t>
      </w:r>
      <w:r>
        <w:t xml:space="preserve">theoretical (Schreiber and Lloyd-Smith</w:t>
      </w:r>
      <w:r>
        <w:t xml:space="preserve"> </w:t>
      </w:r>
      <w:hyperlink w:anchor="ref-Schreiber2009">
        <w:r>
          <w:rPr>
            <w:rStyle w:val="Hyperlink"/>
          </w:rPr>
          <w:t xml:space="preserve">2009</w:t>
        </w:r>
      </w:hyperlink>
      <w:r>
        <w:t xml:space="preserve">) and empirical (Crone</w:t>
      </w:r>
      <w:r>
        <w:t xml:space="preserve"> </w:t>
      </w:r>
      <w:hyperlink w:anchor="ref-Crone2016">
        <w:r>
          <w:rPr>
            <w:rStyle w:val="Hyperlink"/>
          </w:rPr>
          <w:t xml:space="preserve">2016</w:t>
        </w:r>
      </w:hyperlink>
      <w:r>
        <w:t xml:space="preserve">) studies suggesting that spatial</w:t>
      </w:r>
      <w:r>
        <w:t xml:space="preserve"> </w:t>
      </w:r>
      <w:r>
        <w:t xml:space="preserve">heterogeneity should increase the population growth rate.</w:t>
      </w:r>
    </w:p>
    <w:p>
      <w:pPr>
        <w:pStyle w:val="BodyText"/>
      </w:pPr>
      <w:r>
        <w:t xml:space="preserve">Competition significantly reduces local suitability across all range</w:t>
      </w:r>
      <w:r>
        <w:t xml:space="preserve"> </w:t>
      </w:r>
      <w:r>
        <w:t xml:space="preserve">locations, with a stronger and more consistent effect at the cold</w:t>
      </w:r>
      <w:r>
        <w:t xml:space="preserve"> </w:t>
      </w:r>
      <w:r>
        <w:t xml:space="preserve">border, contributing to the ongoing debate surrounding its significance</w:t>
      </w:r>
      <w:r>
        <w:t xml:space="preserve"> </w:t>
      </w:r>
      <w:r>
        <w:t xml:space="preserve">in setting range limits. Despite several studies emphasizing the effect</w:t>
      </w:r>
      <w:r>
        <w:t xml:space="preserve"> </w:t>
      </w:r>
      <w:r>
        <w:t xml:space="preserve">of competition compared to climate on the demographic rates of forest</w:t>
      </w:r>
      <w:r>
        <w:t xml:space="preserve"> </w:t>
      </w:r>
      <w:r>
        <w:t xml:space="preserve">trees (Zhang et al.</w:t>
      </w:r>
      <w:r>
        <w:t xml:space="preserve"> </w:t>
      </w:r>
      <w:hyperlink w:anchor="ref-Zhang2015">
        <w:r>
          <w:rPr>
            <w:rStyle w:val="Hyperlink"/>
          </w:rPr>
          <w:t xml:space="preserve">2015</w:t>
        </w:r>
      </w:hyperlink>
      <w:r>
        <w:t xml:space="preserve">, Käber et</w:t>
      </w:r>
      <w:r>
        <w:t xml:space="preserve"> </w:t>
      </w:r>
      <w:r>
        <w:t xml:space="preserve">al.</w:t>
      </w:r>
      <w:r>
        <w:t xml:space="preserve"> </w:t>
      </w:r>
      <w:hyperlink w:anchor="ref-Kaber2021">
        <w:r>
          <w:rPr>
            <w:rStyle w:val="Hyperlink"/>
          </w:rPr>
          <w:t xml:space="preserve">2021</w:t>
        </w:r>
      </w:hyperlink>
      <w:r>
        <w:t xml:space="preserve">, Le Squin et al.</w:t>
      </w:r>
      <w:r>
        <w:t xml:space="preserve"> </w:t>
      </w:r>
      <w:hyperlink w:anchor="ref-LeSquin2021">
        <w:r>
          <w:rPr>
            <w:rStyle w:val="Hyperlink"/>
          </w:rPr>
          <w:t xml:space="preserve">2021</w:t>
        </w:r>
      </w:hyperlink>
      <w:r>
        <w:t xml:space="preserve">), debates persist regarding</w:t>
      </w:r>
      <w:r>
        <w:t xml:space="preserve"> </w:t>
      </w:r>
      <w:r>
        <w:t xml:space="preserve">whether this effect at the local scale translates to the biogeographic</w:t>
      </w:r>
      <w:r>
        <w:t xml:space="preserve"> </w:t>
      </w:r>
      <w:r>
        <w:t xml:space="preserve">distribution of species (Sober’on</w:t>
      </w:r>
      <w:r>
        <w:t xml:space="preserve"> </w:t>
      </w:r>
      <w:hyperlink w:anchor="ref-Soberon2007">
        <w:r>
          <w:rPr>
            <w:rStyle w:val="Hyperlink"/>
          </w:rPr>
          <w:t xml:space="preserve">2007</w:t>
        </w:r>
      </w:hyperlink>
      <w:r>
        <w:t xml:space="preserve">, Copenhaver-Parry et al.</w:t>
      </w:r>
      <w:r>
        <w:t xml:space="preserve"> </w:t>
      </w:r>
      <w:hyperlink w:anchor="ref-CopenhaverParry2017">
        <w:r>
          <w:rPr>
            <w:rStyle w:val="Hyperlink"/>
          </w:rPr>
          <w:t xml:space="preserve">2017</w:t>
        </w:r>
      </w:hyperlink>
      <w:r>
        <w:t xml:space="preserve">). Our findings support</w:t>
      </w:r>
      <w:r>
        <w:t xml:space="preserve"> </w:t>
      </w:r>
      <w:r>
        <w:t xml:space="preserve">the Godsoe et al. (</w:t>
      </w:r>
      <w:hyperlink w:anchor="ref-Godsoe2017">
        <w:r>
          <w:rPr>
            <w:rStyle w:val="Hyperlink"/>
          </w:rPr>
          <w:t xml:space="preserve">2017</w:t>
        </w:r>
      </w:hyperlink>
      <w:r>
        <w:t xml:space="preserve">) hypothesis</w:t>
      </w:r>
      <w:r>
        <w:t xml:space="preserve"> </w:t>
      </w:r>
      <w:r>
        <w:t xml:space="preserve">and a growing body of evidence (Scherrer et al.</w:t>
      </w:r>
      <w:r>
        <w:t xml:space="preserve"> </w:t>
      </w:r>
      <w:hyperlink w:anchor="ref-Scherrer2020">
        <w:r>
          <w:rPr>
            <w:rStyle w:val="Hyperlink"/>
          </w:rPr>
          <w:t xml:space="preserve">2020</w:t>
        </w:r>
      </w:hyperlink>
      <w:r>
        <w:t xml:space="preserve">, Shi et al.</w:t>
      </w:r>
      <w:r>
        <w:t xml:space="preserve"> </w:t>
      </w:r>
      <w:hyperlink w:anchor="ref-Shi2020">
        <w:r>
          <w:rPr>
            <w:rStyle w:val="Hyperlink"/>
          </w:rPr>
          <w:t xml:space="preserve">2020</w:t>
        </w:r>
      </w:hyperlink>
      <w:r>
        <w:t xml:space="preserve">, Paquette and Hargreaves</w:t>
      </w:r>
      <w:r>
        <w:t xml:space="preserve"> </w:t>
      </w:r>
      <w:hyperlink w:anchor="ref-Paquette2021">
        <w:r>
          <w:rPr>
            <w:rStyle w:val="Hyperlink"/>
          </w:rPr>
          <w:t xml:space="preserve">2021</w:t>
        </w:r>
      </w:hyperlink>
      <w:r>
        <w:t xml:space="preserve">, Lyu and Alexander</w:t>
      </w:r>
      <w:r>
        <w:t xml:space="preserve"> </w:t>
      </w:r>
      <w:hyperlink w:anchor="ref-Lyu2022">
        <w:r>
          <w:rPr>
            <w:rStyle w:val="Hyperlink"/>
          </w:rPr>
          <w:t xml:space="preserve">2022</w:t>
        </w:r>
      </w:hyperlink>
      <w:r>
        <w:t xml:space="preserve">) showing that the effect of</w:t>
      </w:r>
      <w:r>
        <w:t xml:space="preserve"> </w:t>
      </w:r>
      <w:r>
        <w:t xml:space="preserve">competition on the intrinsic population growth rate can indeed</w:t>
      </w:r>
      <w:r>
        <w:t xml:space="preserve"> </w:t>
      </w:r>
      <w:r>
        <w:t xml:space="preserve">contribute to range limits.</w:t>
      </w:r>
    </w:p>
    <w:p>
      <w:pPr>
        <w:pStyle w:val="BodyText"/>
      </w:pPr>
      <w:r>
        <w:t xml:space="preserve">The decline in suitable probability from the cold to the hot border</w:t>
      </w:r>
      <w:r>
        <w:t xml:space="preserve"> </w:t>
      </w:r>
      <w:r>
        <w:t xml:space="preserve">suggests a predominantly linear, rather than unimodal, relationship with</w:t>
      </w:r>
      <w:r>
        <w:t xml:space="preserve"> </w:t>
      </w:r>
      <w:r>
        <w:t xml:space="preserve">temperature for most species (Figure S3). This result is consistent with</w:t>
      </w:r>
      <w:r>
        <w:t xml:space="preserve"> </w:t>
      </w:r>
      <w:r>
        <w:t xml:space="preserve">reduced population growth rates in North American (Le Squin et al.</w:t>
      </w:r>
      <w:r>
        <w:t xml:space="preserve"> </w:t>
      </w:r>
      <w:hyperlink w:anchor="ref-LeSquin2021">
        <w:r>
          <w:rPr>
            <w:rStyle w:val="Hyperlink"/>
          </w:rPr>
          <w:t xml:space="preserve">2021</w:t>
        </w:r>
      </w:hyperlink>
      <w:r>
        <w:t xml:space="preserve">, Schultz et al.</w:t>
      </w:r>
      <w:r>
        <w:t xml:space="preserve"> </w:t>
      </w:r>
      <w:hyperlink w:anchor="ref-schultz2022">
        <w:r>
          <w:rPr>
            <w:rStyle w:val="Hyperlink"/>
          </w:rPr>
          <w:t xml:space="preserve">2022</w:t>
        </w:r>
      </w:hyperlink>
      <w:r>
        <w:t xml:space="preserve">) and European (Guyennon et al.</w:t>
      </w:r>
      <w:r>
        <w:t xml:space="preserve"> </w:t>
      </w:r>
      <w:hyperlink w:anchor="ref-Guyennon2023">
        <w:r>
          <w:rPr>
            <w:rStyle w:val="Hyperlink"/>
          </w:rPr>
          <w:t xml:space="preserve">2023</w:t>
        </w:r>
      </w:hyperlink>
      <w:r>
        <w:t xml:space="preserve">) forest trees, except for the</w:t>
      </w:r>
      <w:r>
        <w:t xml:space="preserve"> </w:t>
      </w:r>
      <w:r>
        <w:t xml:space="preserve">contrasting pattern observation by Purves</w:t>
      </w:r>
      <w:r>
        <w:t xml:space="preserve"> </w:t>
      </w:r>
      <w:r>
        <w:t xml:space="preserve">(</w:t>
      </w:r>
      <w:hyperlink w:anchor="ref-Purves2009">
        <w:r>
          <w:rPr>
            <w:rStyle w:val="Hyperlink"/>
          </w:rPr>
          <w:t xml:space="preserve">2009</w:t>
        </w:r>
      </w:hyperlink>
      <w:r>
        <w:t xml:space="preserve">). The higher suitable</w:t>
      </w:r>
      <w:r>
        <w:t xml:space="preserve"> </w:t>
      </w:r>
      <w:r>
        <w:t xml:space="preserve">probability in the cold range compared to the hot range could be</w:t>
      </w:r>
      <w:r>
        <w:t xml:space="preserve"> </w:t>
      </w:r>
      <w:r>
        <w:t xml:space="preserve">attributed to multiple factors. First, species may still follow their</w:t>
      </w:r>
      <w:r>
        <w:t xml:space="preserve"> </w:t>
      </w:r>
      <w:r>
        <w:t xml:space="preserve">climate niche post the last glaciation, explaining why the current cold</w:t>
      </w:r>
      <w:r>
        <w:t xml:space="preserve"> </w:t>
      </w:r>
      <w:r>
        <w:t xml:space="preserve">range limit does not align with the expected niche distribution</w:t>
      </w:r>
      <w:r>
        <w:t xml:space="preserve"> </w:t>
      </w:r>
      <w:r>
        <w:t xml:space="preserve">(Svenning and Skov</w:t>
      </w:r>
      <w:r>
        <w:t xml:space="preserve"> </w:t>
      </w:r>
      <w:hyperlink w:anchor="ref-Svenning2007">
        <w:r>
          <w:rPr>
            <w:rStyle w:val="Hyperlink"/>
          </w:rPr>
          <w:t xml:space="preserve">2007</w:t>
        </w:r>
      </w:hyperlink>
      <w:r>
        <w:t xml:space="preserve">),</w:t>
      </w:r>
      <w:r>
        <w:t xml:space="preserve"> </w:t>
      </w:r>
      <w:r>
        <w:t xml:space="preserve">potentially leading to a colonization debt (Talluto et al.</w:t>
      </w:r>
      <w:r>
        <w:t xml:space="preserve"> </w:t>
      </w:r>
      <w:hyperlink w:anchor="ref-Talluto2017">
        <w:r>
          <w:rPr>
            <w:rStyle w:val="Hyperlink"/>
          </w:rPr>
          <w:t xml:space="preserve">2017</w:t>
        </w:r>
      </w:hyperlink>
      <w:r>
        <w:t xml:space="preserve">). Notably, four of the six</w:t>
      </w:r>
      <w:r>
        <w:t xml:space="preserve"> </w:t>
      </w:r>
      <w:r>
        <w:t xml:space="preserve">species exhibiting a significant decrease in suitable probability from</w:t>
      </w:r>
      <w:r>
        <w:t xml:space="preserve"> </w:t>
      </w:r>
      <w:r>
        <w:t xml:space="preserve">the center toward the cold range were already at the extreme cold</w:t>
      </w:r>
      <w:r>
        <w:t xml:space="preserve"> </w:t>
      </w:r>
      <w:r>
        <w:t xml:space="preserve">observed in the dataset (Figure S4).</w:t>
      </w:r>
    </w:p>
    <w:p>
      <w:pPr>
        <w:pStyle w:val="BodyText"/>
      </w:pPr>
      <w:r>
        <w:t xml:space="preserve">Our model may however overlook crucial drivers of species performance,</w:t>
      </w:r>
      <w:r>
        <w:t xml:space="preserve"> </w:t>
      </w:r>
      <w:r>
        <w:t xml:space="preserve">despite capturing a substantial amount of variation from parameter</w:t>
      </w:r>
      <w:r>
        <w:t xml:space="preserve"> </w:t>
      </w:r>
      <w:r>
        <w:t xml:space="preserve">uncertainty at the plot level. Factors such as the impact of extreme</w:t>
      </w:r>
      <w:r>
        <w:t xml:space="preserve"> </w:t>
      </w:r>
      <w:r>
        <w:t xml:space="preserve">temperature and precipitation on phenology can influence tree range</w:t>
      </w:r>
      <w:r>
        <w:t xml:space="preserve"> </w:t>
      </w:r>
      <w:r>
        <w:t xml:space="preserve">limits (Morin et al.</w:t>
      </w:r>
      <w:r>
        <w:t xml:space="preserve"> </w:t>
      </w:r>
      <w:hyperlink w:anchor="ref-Morin2007">
        <w:r>
          <w:rPr>
            <w:rStyle w:val="Hyperlink"/>
          </w:rPr>
          <w:t xml:space="preserve">2007</w:t>
        </w:r>
      </w:hyperlink>
      <w:r>
        <w:t xml:space="preserve">). Beyond</w:t>
      </w:r>
      <w:r>
        <w:t xml:space="preserve"> </w:t>
      </w:r>
      <w:r>
        <w:t xml:space="preserve">covariates and plot-level uncertainty, incorporating temporal</w:t>
      </w:r>
      <w:r>
        <w:t xml:space="preserve"> </w:t>
      </w:r>
      <w:r>
        <w:t xml:space="preserve">uncertainty at the plot level, accounting for spatio-temporal</w:t>
      </w:r>
      <w:r>
        <w:t xml:space="preserve"> </w:t>
      </w:r>
      <w:r>
        <w:t xml:space="preserve">covariance, could likely capture additional sources of variation in</w:t>
      </w:r>
      <w:r>
        <w:t xml:space="preserve"> </w:t>
      </w:r>
      <w:r>
        <w:t xml:space="preserve">demographic rates. While our approach considers temporal stochasticity</w:t>
      </w:r>
      <w:r>
        <w:t xml:space="preserve"> </w:t>
      </w:r>
      <w:r>
        <w:t xml:space="preserve">in climate and competition, which affect species range size (Holt et al.</w:t>
      </w:r>
      <w:r>
        <w:t xml:space="preserve"> </w:t>
      </w:r>
      <w:hyperlink w:anchor="ref-Holt2022">
        <w:r>
          <w:rPr>
            <w:rStyle w:val="Hyperlink"/>
          </w:rPr>
          <w:t xml:space="preserve">2022</w:t>
        </w:r>
      </w:hyperlink>
      <w:r>
        <w:t xml:space="preserve">), there remains temporal</w:t>
      </w:r>
      <w:r>
        <w:t xml:space="preserve"> </w:t>
      </w:r>
      <w:r>
        <w:t xml:space="preserve">variation in demographic rates beyond these covariates. This</w:t>
      </w:r>
      <w:r>
        <w:t xml:space="preserve"> </w:t>
      </w:r>
      <w:r>
        <w:t xml:space="preserve">variability, possibly captured with random effects at the plot level,</w:t>
      </w:r>
      <w:r>
        <w:t xml:space="preserve"> </w:t>
      </w:r>
      <w:r>
        <w:t xml:space="preserve">can influence range limits based on the degree of temporal</w:t>
      </w:r>
      <w:r>
        <w:t xml:space="preserve"> </w:t>
      </w:r>
      <w:r>
        <w:t xml:space="preserve">autocorrelation and its relationship with the range (Benning et al.</w:t>
      </w:r>
      <w:r>
        <w:t xml:space="preserve"> </w:t>
      </w:r>
      <w:hyperlink w:anchor="ref-Benning2022">
        <w:r>
          <w:rPr>
            <w:rStyle w:val="Hyperlink"/>
          </w:rPr>
          <w:t xml:space="preserve">2022</w:t>
        </w:r>
      </w:hyperlink>
      <w:r>
        <w:t xml:space="preserve">). For instance, an empirical</w:t>
      </w:r>
      <w:r>
        <w:t xml:space="preserve"> </w:t>
      </w:r>
      <w:r>
        <w:t xml:space="preserve">study on perennial herbaceous species demonstrated that temporal</w:t>
      </w:r>
      <w:r>
        <w:t xml:space="preserve"> </w:t>
      </w:r>
      <w:r>
        <w:t xml:space="preserve">environmental stochasticity reduced the population growth rate relative</w:t>
      </w:r>
      <w:r>
        <w:t xml:space="preserve"> </w:t>
      </w:r>
      <w:r>
        <w:t xml:space="preserve">to the average (Crone</w:t>
      </w:r>
      <w:r>
        <w:t xml:space="preserve"> </w:t>
      </w:r>
      <w:hyperlink w:anchor="ref-Crone2016">
        <w:r>
          <w:rPr>
            <w:rStyle w:val="Hyperlink"/>
          </w:rPr>
          <w:t xml:space="preserve">2016</w:t>
        </w:r>
      </w:hyperlink>
      <w:r>
        <w:t xml:space="preserve">). In our</w:t>
      </w:r>
      <w:r>
        <w:t xml:space="preserve"> </w:t>
      </w:r>
      <w:r>
        <w:t xml:space="preserve">study, this temporal variability is particularly relevant for survival</w:t>
      </w:r>
      <w:r>
        <w:t xml:space="preserve"> </w:t>
      </w:r>
      <w:r>
        <w:t xml:space="preserve">(due to disturbance) and recruitment (due to phenology) rates because,</w:t>
      </w:r>
      <w:r>
        <w:t xml:space="preserve"> </w:t>
      </w:r>
      <w:r>
        <w:t xml:space="preserve">in addition to having high temporal variability (Clark et al.</w:t>
      </w:r>
      <w:r>
        <w:t xml:space="preserve"> </w:t>
      </w:r>
      <w:hyperlink w:anchor="ref-Clark1999a">
        <w:r>
          <w:rPr>
            <w:rStyle w:val="Hyperlink"/>
          </w:rPr>
          <w:t xml:space="preserve">1999</w:t>
        </w:r>
      </w:hyperlink>
      <w:r>
        <w:t xml:space="preserve">, de Souza Leite et al.</w:t>
      </w:r>
      <w:r>
        <w:t xml:space="preserve"> </w:t>
      </w:r>
      <w:hyperlink w:anchor="ref-Leite2023">
        <w:r>
          <w:rPr>
            <w:rStyle w:val="Hyperlink"/>
          </w:rPr>
          <w:t xml:space="preserve">2023</w:t>
        </w:r>
      </w:hyperlink>
      <w:r>
        <w:t xml:space="preserve">), they represent the most</w:t>
      </w:r>
      <w:r>
        <w:t xml:space="preserve"> </w:t>
      </w:r>
      <w:r>
        <w:t xml:space="preserve">significant drivers of population growth rate (Chapter 2).</w:t>
      </w:r>
    </w:p>
    <w:p>
      <w:pPr>
        <w:pStyle w:val="BodyText"/>
      </w:pPr>
      <w:r>
        <w:t xml:space="preserve">The effect of competition, similar to climate, increased from the center</w:t>
      </w:r>
      <w:r>
        <w:t xml:space="preserve"> </w:t>
      </w:r>
      <w:r>
        <w:t xml:space="preserve">towards the border of the hot range, contrary to Kunstler et al.</w:t>
      </w:r>
      <w:r>
        <w:t xml:space="preserve"> </w:t>
      </w:r>
      <w:r>
        <w:t xml:space="preserve">(</w:t>
      </w:r>
      <w:hyperlink w:anchor="ref-Kunstler2021">
        <w:r>
          <w:rPr>
            <w:rStyle w:val="Hyperlink"/>
          </w:rPr>
          <w:t xml:space="preserve">2021</w:t>
        </w:r>
      </w:hyperlink>
      <w:r>
        <w:t xml:space="preserve">), who found no difference in</w:t>
      </w:r>
      <w:r>
        <w:t xml:space="preserve"> </w:t>
      </w:r>
      <w:r>
        <w:t xml:space="preserve">the competition effect between the center and border of the species.</w:t>
      </w:r>
      <w:r>
        <w:t xml:space="preserve"> </w:t>
      </w:r>
      <w:r>
        <w:t xml:space="preserve">Additionally, our results deviate from the Species Interactions-Abiotic</w:t>
      </w:r>
      <w:r>
        <w:t xml:space="preserve"> </w:t>
      </w:r>
      <w:r>
        <w:t xml:space="preserve">Stress Hypothesis, predicting a stronger competition effect in less</w:t>
      </w:r>
      <w:r>
        <w:t xml:space="preserve"> </w:t>
      </w:r>
      <w:r>
        <w:t xml:space="preserve">stressful climate conditions (Louthan et al.</w:t>
      </w:r>
      <w:r>
        <w:t xml:space="preserve"> </w:t>
      </w:r>
      <w:hyperlink w:anchor="ref-Louthan2015">
        <w:r>
          <w:rPr>
            <w:rStyle w:val="Hyperlink"/>
          </w:rPr>
          <w:t xml:space="preserve">2015</w:t>
        </w:r>
      </w:hyperlink>
      <w:r>
        <w:t xml:space="preserve">). When considering the</w:t>
      </w:r>
      <w:r>
        <w:t xml:space="preserve"> </w:t>
      </w:r>
      <w:r>
        <w:t xml:space="preserve">relative position of the species across the temperature gradient, only</w:t>
      </w:r>
      <w:r>
        <w:t xml:space="preserve"> </w:t>
      </w:r>
      <w:r>
        <w:t xml:space="preserve">the effect of climate at the cold range changed with temperature. This</w:t>
      </w:r>
      <w:r>
        <w:t xml:space="preserve"> </w:t>
      </w:r>
      <w:r>
        <w:t xml:space="preserve">indicates that most species have a similar or higher suitable</w:t>
      </w:r>
      <w:r>
        <w:t xml:space="preserve"> </w:t>
      </w:r>
      <w:r>
        <w:t xml:space="preserve">probability at the border of the cold range compared to their center</w:t>
      </w:r>
      <w:r>
        <w:t xml:space="preserve"> </w:t>
      </w:r>
      <w:r>
        <w:t xml:space="preserve">distribution. We further tested whether the species’ range size affects</w:t>
      </w:r>
      <w:r>
        <w:t xml:space="preserve"> </w:t>
      </w:r>
      <w:r>
        <w:t xml:space="preserve">the relative difference in suitable probability; while the absolute</w:t>
      </w:r>
      <w:r>
        <w:t xml:space="preserve"> </w:t>
      </w:r>
      <w:r>
        <w:t xml:space="preserve">values change, the pattern among the species remains unchanged.</w:t>
      </w:r>
    </w:p>
    <w:p>
      <w:pPr>
        <w:pStyle w:val="BodyText"/>
      </w:pPr>
      <w:r>
        <w:t xml:space="preserve">The climate gradient of temperature had a more significant effect than</w:t>
      </w:r>
      <w:r>
        <w:t xml:space="preserve"> </w:t>
      </w:r>
      <w:r>
        <w:t xml:space="preserve">competition in changing the suitable probability of forest trees. This</w:t>
      </w:r>
      <w:r>
        <w:t xml:space="preserve"> </w:t>
      </w:r>
      <w:r>
        <w:t xml:space="preserve">means that mean annual temperature, along with all latent variables,</w:t>
      </w:r>
      <w:r>
        <w:t xml:space="preserve"> </w:t>
      </w:r>
      <w:r>
        <w:t xml:space="preserve">better explains how suitable probability changes across the temperature</w:t>
      </w:r>
      <w:r>
        <w:t xml:space="preserve"> </w:t>
      </w:r>
      <w:r>
        <w:t xml:space="preserve">range. The choice of using only mean annual temperature as an</w:t>
      </w:r>
      <w:r>
        <w:t xml:space="preserve"> </w:t>
      </w:r>
      <w:r>
        <w:t xml:space="preserve">explanatory variable for the variance of</w:t>
      </w:r>
      <w:r>
        <w:t xml:space="preserve"> </w:t>
      </w:r>
      <m:oMath>
        <m:r>
          <m:t>λ</m:t>
        </m:r>
      </m:oMath>
      <w:r>
        <w:t xml:space="preserve"> </w:t>
      </w:r>
      <w:r>
        <w:t xml:space="preserve">can be improved.</w:t>
      </w:r>
      <w:r>
        <w:t xml:space="preserve"> </w:t>
      </w:r>
      <w:r>
        <w:t xml:space="preserve">For instance, the model could be built accounting for mean annual</w:t>
      </w:r>
      <w:r>
        <w:t xml:space="preserve"> </w:t>
      </w:r>
      <w:r>
        <w:t xml:space="preserve">temperature and precipitation to predict the complete two-dimensional</w:t>
      </w:r>
      <w:r>
        <w:t xml:space="preserve"> </w:t>
      </w:r>
      <w:r>
        <w:t xml:space="preserve">distribution of the species’ climate niche. Plot random effects could be</w:t>
      </w:r>
      <w:r>
        <w:t xml:space="preserve"> </w:t>
      </w:r>
      <w:r>
        <w:t xml:space="preserve">further used to account for the nestedness of the data design, allowing</w:t>
      </w:r>
      <w:r>
        <w:t xml:space="preserve"> </w:t>
      </w:r>
      <w:r>
        <w:t xml:space="preserve">the proper separation of the total variance of the metamodel into</w:t>
      </w:r>
      <w:r>
        <w:t xml:space="preserve"> </w:t>
      </w:r>
      <w:r>
        <w:t xml:space="preserve">variance arising from individual- and plot-level demographic</w:t>
      </w:r>
      <w:r>
        <w:t xml:space="preserve"> </w:t>
      </w:r>
      <w:r>
        <w:t xml:space="preserve">uncertainty. While we have assumed climate variability as independent</w:t>
      </w:r>
      <w:r>
        <w:t xml:space="preserve"> </w:t>
      </w:r>
      <w:r>
        <w:t xml:space="preserve">and identically distributed random variables, this assumption can be</w:t>
      </w:r>
      <w:r>
        <w:t xml:space="preserve"> </w:t>
      </w:r>
      <w:r>
        <w:t xml:space="preserve">relaxed to include temporal autocorrelation. Autocorrelated</w:t>
      </w:r>
      <w:r>
        <w:t xml:space="preserve"> </w:t>
      </w:r>
      <w:r>
        <w:t xml:space="preserve">environmental fluctuation can significantly change a species’ range</w:t>
      </w:r>
      <w:r>
        <w:t xml:space="preserve"> </w:t>
      </w:r>
      <w:r>
        <w:t xml:space="preserve">limits due to nonlinear averaging (Benning et al.</w:t>
      </w:r>
      <w:r>
        <w:t xml:space="preserve"> </w:t>
      </w:r>
      <w:hyperlink w:anchor="ref-Benning2022">
        <w:r>
          <w:rPr>
            <w:rStyle w:val="Hyperlink"/>
          </w:rPr>
          <w:t xml:space="preserve">2022</w:t>
        </w:r>
      </w:hyperlink>
      <w:r>
        <w:t xml:space="preserve">, Holt et al.</w:t>
      </w:r>
      <w:r>
        <w:t xml:space="preserve"> </w:t>
      </w:r>
      <w:hyperlink w:anchor="ref-Holt2022">
        <w:r>
          <w:rPr>
            <w:rStyle w:val="Hyperlink"/>
          </w:rPr>
          <w:t xml:space="preserve">2022</w:t>
        </w:r>
      </w:hyperlink>
      <w:r>
        <w:t xml:space="preserve">). Lastly, although coexistence</w:t>
      </w:r>
      <w:r>
        <w:t xml:space="preserve"> </w:t>
      </w:r>
      <w:r>
        <w:t xml:space="preserve">theory assumes the abundance of competitors to be at equilibrium</w:t>
      </w:r>
      <w:r>
        <w:t xml:space="preserve"> </w:t>
      </w:r>
      <w:r>
        <w:t xml:space="preserve">(Chesson</w:t>
      </w:r>
      <w:r>
        <w:t xml:space="preserve"> </w:t>
      </w:r>
      <w:hyperlink w:anchor="ref-Chesson2000a">
        <w:r>
          <w:rPr>
            <w:rStyle w:val="Hyperlink"/>
          </w:rPr>
          <w:t xml:space="preserve">2000</w:t>
        </w:r>
      </w:hyperlink>
      <w:r>
        <w:t xml:space="preserve">), testing this</w:t>
      </w:r>
      <w:r>
        <w:t xml:space="preserve"> </w:t>
      </w:r>
      <w:r>
        <w:t xml:space="preserve">assumption remains practically impossible.</w:t>
      </w:r>
    </w:p>
    <w:p>
      <w:pPr>
        <w:pStyle w:val="BodyText"/>
      </w:pPr>
      <w:r>
        <w:t xml:space="preserve">Despite the many ways of improving our study, there is a growing body of</w:t>
      </w:r>
      <w:r>
        <w:t xml:space="preserve"> </w:t>
      </w:r>
      <w:r>
        <w:t xml:space="preserve">evidence indicating a mismatch between performance and occurrence</w:t>
      </w:r>
      <w:r>
        <w:t xml:space="preserve"> </w:t>
      </w:r>
      <w:r>
        <w:t xml:space="preserve">(McGill</w:t>
      </w:r>
      <w:r>
        <w:t xml:space="preserve"> </w:t>
      </w:r>
      <w:hyperlink w:anchor="ref-McGill2012">
        <w:r>
          <w:rPr>
            <w:rStyle w:val="Hyperlink"/>
          </w:rPr>
          <w:t xml:space="preserve">2012</w:t>
        </w:r>
      </w:hyperlink>
      <w:r>
        <w:t xml:space="preserve">, Csergo et al.</w:t>
      </w:r>
      <w:r>
        <w:t xml:space="preserve"> </w:t>
      </w:r>
      <w:hyperlink w:anchor="ref-Csergo2017">
        <w:r>
          <w:rPr>
            <w:rStyle w:val="Hyperlink"/>
          </w:rPr>
          <w:t xml:space="preserve">2017</w:t>
        </w:r>
      </w:hyperlink>
      <w:r>
        <w:t xml:space="preserve">, Bohner and Diez</w:t>
      </w:r>
      <w:r>
        <w:t xml:space="preserve"> </w:t>
      </w:r>
      <w:hyperlink w:anchor="ref-bohner2020">
        <w:r>
          <w:rPr>
            <w:rStyle w:val="Hyperlink"/>
          </w:rPr>
          <w:t xml:space="preserve">2020</w:t>
        </w:r>
      </w:hyperlink>
      <w:r>
        <w:t xml:space="preserve">, Le Squin et al.</w:t>
      </w:r>
      <w:r>
        <w:t xml:space="preserve"> </w:t>
      </w:r>
      <w:hyperlink w:anchor="ref-LeSquin2021">
        <w:r>
          <w:rPr>
            <w:rStyle w:val="Hyperlink"/>
          </w:rPr>
          <w:t xml:space="preserve">2021</w:t>
        </w:r>
      </w:hyperlink>
      <w:r>
        <w:t xml:space="preserve">, Midolo et al.</w:t>
      </w:r>
      <w:r>
        <w:t xml:space="preserve"> </w:t>
      </w:r>
      <w:hyperlink w:anchor="ref-Midolo2021">
        <w:r>
          <w:rPr>
            <w:rStyle w:val="Hyperlink"/>
          </w:rPr>
          <w:t xml:space="preserve">2021</w:t>
        </w:r>
      </w:hyperlink>
      <w:r>
        <w:t xml:space="preserve">, Guyennon et al.</w:t>
      </w:r>
      <w:r>
        <w:t xml:space="preserve"> </w:t>
      </w:r>
      <w:hyperlink w:anchor="ref-Guyennon2023">
        <w:r>
          <w:rPr>
            <w:rStyle w:val="Hyperlink"/>
          </w:rPr>
          <w:t xml:space="preserve">2023</w:t>
        </w:r>
      </w:hyperlink>
      <w:r>
        <w:t xml:space="preserve">, Thuiller et al.</w:t>
      </w:r>
      <w:r>
        <w:t xml:space="preserve"> </w:t>
      </w:r>
      <w:hyperlink w:anchor="ref-Thuiller2014">
        <w:r>
          <w:rPr>
            <w:rStyle w:val="Hyperlink"/>
          </w:rPr>
          <w:t xml:space="preserve">2014</w:t>
        </w:r>
      </w:hyperlink>
      <w:r>
        <w:t xml:space="preserve">). Our approach can better</w:t>
      </w:r>
      <w:r>
        <w:t xml:space="preserve"> </w:t>
      </w:r>
      <w:r>
        <w:t xml:space="preserve">capture the nuanced effect of climate and competition along with the</w:t>
      </w:r>
      <w:r>
        <w:t xml:space="preserve"> </w:t>
      </w:r>
      <w:r>
        <w:t xml:space="preserve">spatio-temporal variation in</w:t>
      </w:r>
      <w:r>
        <w:t xml:space="preserve"> </w:t>
      </w:r>
      <m:oMath>
        <m:r>
          <m:t>λ</m:t>
        </m:r>
      </m:oMath>
      <w:r>
        <w:t xml:space="preserve">, yet it was not enough to fully</w:t>
      </w:r>
      <w:r>
        <w:t xml:space="preserve"> </w:t>
      </w:r>
      <w:r>
        <w:t xml:space="preserve">predict tree range limits. Since species distribution is influenced by</w:t>
      </w:r>
      <w:r>
        <w:t xml:space="preserve"> </w:t>
      </w:r>
      <w:r>
        <w:t xml:space="preserve">processes at multiple scales (McGill</w:t>
      </w:r>
      <w:r>
        <w:t xml:space="preserve"> </w:t>
      </w:r>
      <w:hyperlink w:anchor="ref-McGill2010">
        <w:r>
          <w:rPr>
            <w:rStyle w:val="Hyperlink"/>
          </w:rPr>
          <w:t xml:space="preserve">2010</w:t>
        </w:r>
      </w:hyperlink>
      <w:r>
        <w:t xml:space="preserve">, Heffernan et al.</w:t>
      </w:r>
      <w:r>
        <w:t xml:space="preserve"> </w:t>
      </w:r>
      <w:hyperlink w:anchor="ref-Heffernan2014">
        <w:r>
          <w:rPr>
            <w:rStyle w:val="Hyperlink"/>
          </w:rPr>
          <w:t xml:space="preserve">2014</w:t>
        </w:r>
      </w:hyperlink>
      <w:r>
        <w:t xml:space="preserve">), it is challenging to rely</w:t>
      </w:r>
      <w:r>
        <w:t xml:space="preserve"> </w:t>
      </w:r>
      <w:r>
        <w:t xml:space="preserve">on a single individual-level performance metric to predict it all (Evans</w:t>
      </w:r>
      <w:r>
        <w:t xml:space="preserve"> </w:t>
      </w:r>
      <w:r>
        <w:t xml:space="preserve">et al.</w:t>
      </w:r>
      <w:r>
        <w:t xml:space="preserve"> </w:t>
      </w:r>
      <w:hyperlink w:anchor="ref-Evans2016">
        <w:r>
          <w:rPr>
            <w:rStyle w:val="Hyperlink"/>
          </w:rPr>
          <w:t xml:space="preserve">2016</w:t>
        </w:r>
      </w:hyperlink>
      <w:r>
        <w:t xml:space="preserve">). For instance,</w:t>
      </w:r>
      <w:r>
        <w:t xml:space="preserve"> </w:t>
      </w:r>
      <w:r>
        <w:t xml:space="preserve">dispersion plays a crucial role in changing species distribution at</w:t>
      </w:r>
      <w:r>
        <w:t xml:space="preserve"> </w:t>
      </w:r>
      <w:r>
        <w:t xml:space="preserve">larger spatial scales, either reducing its extent due to limited</w:t>
      </w:r>
      <w:r>
        <w:t xml:space="preserve"> </w:t>
      </w:r>
      <w:r>
        <w:t xml:space="preserve">dispersal or increasing it through source-sink dynamics (Pulliam</w:t>
      </w:r>
      <w:r>
        <w:t xml:space="preserve"> </w:t>
      </w:r>
      <w:hyperlink w:anchor="ref-Pulliam2000">
        <w:r>
          <w:rPr>
            <w:rStyle w:val="Hyperlink"/>
          </w:rPr>
          <w:t xml:space="preserve">2000</w:t>
        </w:r>
      </w:hyperlink>
      <w:r>
        <w:t xml:space="preserve">). We propose that our novel</w:t>
      </w:r>
      <w:r>
        <w:t xml:space="preserve"> </w:t>
      </w:r>
      <w:r>
        <w:t xml:space="preserve">metric, local suitable probability, can be a key unifying factor linking</w:t>
      </w:r>
      <w:r>
        <w:t xml:space="preserve"> </w:t>
      </w:r>
      <w:r>
        <w:t xml:space="preserve">local and landscape scales.</w:t>
      </w:r>
    </w:p>
    <w:p>
      <w:pPr>
        <w:pStyle w:val="BodyText"/>
      </w:pPr>
      <w:r>
        <w:t xml:space="preserve">Forest trees exhibit variation in their frequency of occurrence across</w:t>
      </w:r>
      <w:r>
        <w:t xml:space="preserve"> </w:t>
      </w:r>
      <w:r>
        <w:t xml:space="preserve">distribution gradients, yet their relative abundance remains consistent</w:t>
      </w:r>
      <w:r>
        <w:t xml:space="preserve"> </w:t>
      </w:r>
      <w:r>
        <w:t xml:space="preserve">when present (Canham and Thomas</w:t>
      </w:r>
      <w:r>
        <w:t xml:space="preserve"> </w:t>
      </w:r>
      <w:hyperlink w:anchor="ref-Canham2010">
        <w:r>
          <w:rPr>
            <w:rStyle w:val="Hyperlink"/>
          </w:rPr>
          <w:t xml:space="preserve">2010</w:t>
        </w:r>
      </w:hyperlink>
      <w:r>
        <w:t xml:space="preserve">). Such observation implies that</w:t>
      </w:r>
      <w:r>
        <w:t xml:space="preserve"> </w:t>
      </w:r>
      <w:r>
        <w:t xml:space="preserve">assessing forest distribution should focus on colonization and</w:t>
      </w:r>
      <w:r>
        <w:t xml:space="preserve"> </w:t>
      </w:r>
      <w:r>
        <w:t xml:space="preserve">extinction patch dynamics rather than local performance (Canham and</w:t>
      </w:r>
      <w:r>
        <w:t xml:space="preserve"> </w:t>
      </w:r>
      <w:r>
        <w:t xml:space="preserve">Murphy</w:t>
      </w:r>
      <w:r>
        <w:t xml:space="preserve"> </w:t>
      </w:r>
      <w:hyperlink w:anchor="ref-Canham2017">
        <w:r>
          <w:rPr>
            <w:rStyle w:val="Hyperlink"/>
          </w:rPr>
          <w:t xml:space="preserve">2017</w:t>
        </w:r>
      </w:hyperlink>
      <w:r>
        <w:t xml:space="preserve">). However, instead of</w:t>
      </w:r>
      <w:r>
        <w:t xml:space="preserve"> </w:t>
      </w:r>
      <w:r>
        <w:t xml:space="preserve">restricting models to either local or large scales, we propose using the</w:t>
      </w:r>
      <w:r>
        <w:t xml:space="preserve"> </w:t>
      </w:r>
      <w:r>
        <w:t xml:space="preserve">local suitable probability to reconcile the local demographic dynamics</w:t>
      </w:r>
      <w:r>
        <w:t xml:space="preserve"> </w:t>
      </w:r>
      <w:r>
        <w:t xml:space="preserve">with the metapopulation theory. Colonization and extinction processes,</w:t>
      </w:r>
      <w:r>
        <w:t xml:space="preserve"> </w:t>
      </w:r>
      <w:r>
        <w:t xml:space="preserve">as described by metapopulation theory (Levins</w:t>
      </w:r>
      <w:r>
        <w:t xml:space="preserve"> </w:t>
      </w:r>
      <w:hyperlink w:anchor="ref-Levins1969">
        <w:r>
          <w:rPr>
            <w:rStyle w:val="Hyperlink"/>
          </w:rPr>
          <w:t xml:space="preserve">1969</w:t>
        </w:r>
      </w:hyperlink>
      <w:r>
        <w:t xml:space="preserve">), are well-suited for</w:t>
      </w:r>
      <w:r>
        <w:t xml:space="preserve"> </w:t>
      </w:r>
      <w:r>
        <w:t xml:space="preserve">describing the mosaic of forest successional stages at the landscape</w:t>
      </w:r>
      <w:r>
        <w:t xml:space="preserve"> </w:t>
      </w:r>
      <w:r>
        <w:t xml:space="preserve">scale resulting from natural disturbances and succession. However, an</w:t>
      </w:r>
      <w:r>
        <w:t xml:space="preserve"> </w:t>
      </w:r>
      <w:r>
        <w:t xml:space="preserve">implicit assumption is that unoccupied patches are necessarily available</w:t>
      </w:r>
      <w:r>
        <w:t xml:space="preserve"> </w:t>
      </w:r>
      <w:r>
        <w:t xml:space="preserve">for colonization. We relax this assumption and quantify patch</w:t>
      </w:r>
      <w:r>
        <w:t xml:space="preserve"> </w:t>
      </w:r>
      <w:r>
        <w:t xml:space="preserve">availability using the local suitable probability metric (</w:t>
      </w:r>
      <m:oMath>
        <m:r>
          <m:t>Λ</m:t>
        </m:r>
      </m:oMath>
      <w:r>
        <w:t xml:space="preserve">).</w:t>
      </w:r>
      <w:r>
        <w:t xml:space="preserve"> </w:t>
      </w:r>
      <w:r>
        <w:t xml:space="preserve">Considering an ensemble of patches (</w:t>
      </w:r>
      <m:oMath>
        <m:r>
          <m:t>p</m:t>
        </m:r>
      </m:oMath>
      <w:r>
        <w:t xml:space="preserve">) where individuals can arrive</w:t>
      </w:r>
      <w:r>
        <w:t xml:space="preserve"> </w:t>
      </w:r>
      <w:r>
        <w:t xml:space="preserve">and establish in empty patches through colonization (</w:t>
      </w:r>
      <m:oMath>
        <m:r>
          <m:t>α</m:t>
        </m:r>
      </m:oMath>
      <w:r>
        <w:t xml:space="preserve">), and</w:t>
      </w:r>
      <w:r>
        <w:t xml:space="preserve"> </w:t>
      </w:r>
      <w:r>
        <w:t xml:space="preserve">occupied patches can become empty through extinction (</w:t>
      </w:r>
      <m:oMath>
        <m:r>
          <m:t>ε</m:t>
        </m:r>
      </m:oMath>
      <w:r>
        <w:t xml:space="preserve">),</w:t>
      </w:r>
      <w:r>
        <w:t xml:space="preserve"> </w:t>
      </w:r>
      <w:r>
        <w:t xml:space="preserve">the integrated metapopulation model becomes:</w:t>
      </w:r>
    </w:p>
    <w:p>
      <w:pPr>
        <w:pStyle w:val="BodyText"/>
      </w:pPr>
      <m:oMathPara>
        <m:oMathParaPr>
          <m:jc m:val="center"/>
        </m:oMathParaPr>
        <m:oMath>
          <m:f>
            <m:fPr>
              <m:type m:val="bar"/>
            </m:fPr>
            <m:num>
              <m:r>
                <m:t>d</m:t>
              </m:r>
              <m:r>
                <m:t>p</m:t>
              </m:r>
            </m:num>
            <m:den>
              <m:r>
                <m:t>d</m:t>
              </m:r>
              <m:r>
                <m:t>t</m:t>
              </m:r>
            </m:den>
          </m:f>
          <m:r>
            <m:t>=</m:t>
          </m:r>
          <m:r>
            <m:t>α</m:t>
          </m:r>
          <m:r>
            <m:t>p</m:t>
          </m:r>
          <m:r>
            <m:t>(</m:t>
          </m:r>
          <m:r>
            <m:t>Λ</m:t>
          </m:r>
          <m:r>
            <m:t>−</m:t>
          </m:r>
          <m:r>
            <m:t>p</m:t>
          </m:r>
          <m:r>
            <m:t>)</m:t>
          </m:r>
          <m:r>
            <m:t>−</m:t>
          </m:r>
          <m:r>
            <m:t>ε</m:t>
          </m:r>
          <m:r>
            <m:t>p</m:t>
          </m:r>
        </m:oMath>
      </m:oMathPara>
    </w:p>
    <w:p>
      <w:pPr>
        <w:pStyle w:val="FirstParagraph"/>
      </w:pPr>
      <w:r>
        <w:t xml:space="preserve">With this formulation, rather than having</w:t>
      </w:r>
      <w:r>
        <w:t xml:space="preserve"> </w:t>
      </w:r>
      <m:oMath>
        <m:r>
          <m:t>1</m:t>
        </m:r>
        <m:r>
          <m:t>−</m:t>
        </m:r>
        <m:r>
          <m:t>p</m:t>
        </m:r>
      </m:oMath>
      <w:r>
        <w:t xml:space="preserve"> </w:t>
      </w:r>
      <w:r>
        <w:t xml:space="preserve">available patches</w:t>
      </w:r>
      <w:r>
        <w:t xml:space="preserve"> </w:t>
      </w:r>
      <w:r>
        <w:t xml:space="preserve">for colonization, we have</w:t>
      </w:r>
      <w:r>
        <w:t xml:space="preserve"> </w:t>
      </w:r>
      <m:oMath>
        <m:r>
          <m:t>Λ</m:t>
        </m:r>
        <m:r>
          <m:t>−</m:t>
        </m:r>
        <m:r>
          <m:t>p</m:t>
        </m:r>
      </m:oMath>
      <w:r>
        <w:t xml:space="preserve">. Therefore, when</w:t>
      </w:r>
      <w:r>
        <w:t xml:space="preserve"> </w:t>
      </w:r>
      <m:oMath>
        <m:r>
          <m:t>λ</m:t>
        </m:r>
      </m:oMath>
      <w:r>
        <w:t xml:space="preserve"> </w:t>
      </w:r>
      <w:r>
        <w:t xml:space="preserve">and its variability are high, the local suitable probability equals 1,</w:t>
      </w:r>
      <w:r>
        <w:t xml:space="preserve"> </w:t>
      </w:r>
      <w:r>
        <w:t xml:space="preserve">indicating that all non-occupied patches are available. Conversely, as</w:t>
      </w:r>
      <w:r>
        <w:t xml:space="preserve"> </w:t>
      </w:r>
      <w:r>
        <w:t xml:space="preserve">the local suitable probability decreases, the proportion of non-occupied</w:t>
      </w:r>
      <w:r>
        <w:t xml:space="preserve"> </w:t>
      </w:r>
      <w:r>
        <w:t xml:space="preserve">patches available for colonization is reduced. This integrative approach</w:t>
      </w:r>
      <w:r>
        <w:t xml:space="preserve"> </w:t>
      </w:r>
      <w:r>
        <w:t xml:space="preserve">allows one to account for both the local (e.g. competition and climate)</w:t>
      </w:r>
      <w:r>
        <w:t xml:space="preserve"> </w:t>
      </w:r>
      <w:r>
        <w:t xml:space="preserve">and landscape (e.g. fire disturbances and dispersal) drivers of forest</w:t>
      </w:r>
      <w:r>
        <w:t xml:space="preserve"> </w:t>
      </w:r>
      <w:r>
        <w:t xml:space="preserve">dynamics when assessing tree distribution.</w:t>
      </w:r>
    </w:p>
    <w:bookmarkEnd w:id="46"/>
    <w:bookmarkStart w:id="110" w:name="references"/>
    <w:p>
      <w:pPr>
        <w:pStyle w:val="Heading1"/>
      </w:pPr>
      <w:r>
        <w:t xml:space="preserve">References</w:t>
      </w:r>
    </w:p>
    <w:bookmarkStart w:id="47" w:name="refs"/>
    <w:bookmarkEnd w:id="47"/>
    <w:p>
      <w:pPr>
        <w:pStyle w:val="FirstParagraph"/>
      </w:pPr>
      <w:bookmarkStart w:id="48" w:name="ref-Benning2022"/>
      <w:bookmarkEnd w:id="48"/>
      <w:r>
        <w:t xml:space="preserve"> </w:t>
      </w:r>
      <w:r>
        <w:t xml:space="preserve">Benning, J. W., R. A. Hufbauer, and C. Weiss-Lehman. 2022. Increasing</w:t>
      </w:r>
      <w:r>
        <w:t xml:space="preserve"> </w:t>
      </w:r>
      <w:r>
        <w:t xml:space="preserve">temporal variance leads to stable species range limits. Proceedings of</w:t>
      </w:r>
      <w:r>
        <w:t xml:space="preserve"> </w:t>
      </w:r>
      <w:r>
        <w:t xml:space="preserve">the Royal Society B: Biological Sciences 289.</w:t>
      </w:r>
    </w:p>
    <w:p>
      <w:pPr>
        <w:pStyle w:val="BodyText"/>
      </w:pPr>
      <w:bookmarkStart w:id="49" w:name="ref-bohner2020"/>
      <w:bookmarkEnd w:id="49"/>
      <w:r>
        <w:t xml:space="preserve"> </w:t>
      </w:r>
      <w:r>
        <w:t xml:space="preserve">Bohner, T., and J. Diez. 2020. Extensive mismatches between species</w:t>
      </w:r>
      <w:r>
        <w:t xml:space="preserve"> </w:t>
      </w:r>
      <w:r>
        <w:t xml:space="preserve">distributions and performance and their relationship to functional</w:t>
      </w:r>
      <w:r>
        <w:t xml:space="preserve"> </w:t>
      </w:r>
      <w:r>
        <w:t xml:space="preserve">traits. Ecology Letters 23:33–44.</w:t>
      </w:r>
    </w:p>
    <w:p>
      <w:pPr>
        <w:pStyle w:val="BodyText"/>
      </w:pPr>
      <w:bookmarkStart w:id="50" w:name="ref-Canham2017"/>
      <w:bookmarkEnd w:id="50"/>
      <w:r>
        <w:t xml:space="preserve"> </w:t>
      </w:r>
      <w:r>
        <w:t xml:space="preserve">Canham, C. D., and L. Murphy. 2017. The demography of tree species</w:t>
      </w:r>
      <w:r>
        <w:t xml:space="preserve"> </w:t>
      </w:r>
      <w:r>
        <w:t xml:space="preserve">response to climate: Sapling and canopy tree survival. Ecosphere 8.</w:t>
      </w:r>
    </w:p>
    <w:p>
      <w:pPr>
        <w:pStyle w:val="BodyText"/>
      </w:pPr>
      <w:bookmarkStart w:id="51" w:name="ref-Canham2010"/>
      <w:bookmarkEnd w:id="51"/>
      <w:r>
        <w:t xml:space="preserve"> </w:t>
      </w:r>
      <w:r>
        <w:t xml:space="preserve">Canham, C. D., and R. Q. Thomas. 2010. Frequncy, not relative abundance,</w:t>
      </w:r>
      <w:r>
        <w:t xml:space="preserve"> </w:t>
      </w:r>
      <w:r>
        <w:t xml:space="preserve">of temperate tree species varies along climate gradients in eastern</w:t>
      </w:r>
      <w:r>
        <w:t xml:space="preserve"> </w:t>
      </w:r>
      <w:r>
        <w:t xml:space="preserve">North America. Ecology 91:3433–3440.</w:t>
      </w:r>
    </w:p>
    <w:p>
      <w:pPr>
        <w:pStyle w:val="BodyText"/>
      </w:pPr>
      <w:bookmarkStart w:id="52" w:name="ref-Caswell2009"/>
      <w:bookmarkEnd w:id="52"/>
      <w:r>
        <w:t xml:space="preserve"> </w:t>
      </w:r>
      <w:r>
        <w:t xml:space="preserve">Caswell, H. 2009. Stage, age and individual stochasticity in demography.</w:t>
      </w:r>
      <w:r>
        <w:t xml:space="preserve"> </w:t>
      </w:r>
      <w:r>
        <w:t xml:space="preserve">Oikos 118:1763–1782.</w:t>
      </w:r>
    </w:p>
    <w:p>
      <w:pPr>
        <w:pStyle w:val="BodyText"/>
      </w:pPr>
      <w:bookmarkStart w:id="53" w:name="ref-Chesson2000a"/>
      <w:bookmarkEnd w:id="53"/>
      <w:r>
        <w:t xml:space="preserve"> </w:t>
      </w:r>
      <w:r>
        <w:t xml:space="preserve">Chesson, P. 2000. Mechanisms of maintenance of species diversity. Annu.</w:t>
      </w:r>
      <w:r>
        <w:t xml:space="preserve"> </w:t>
      </w:r>
      <w:r>
        <w:t xml:space="preserve">Rev. Ecol. Syst 31:343–66.</w:t>
      </w:r>
    </w:p>
    <w:p>
      <w:pPr>
        <w:pStyle w:val="BodyText"/>
      </w:pPr>
      <w:bookmarkStart w:id="54" w:name="ref-Clark2010"/>
      <w:bookmarkEnd w:id="54"/>
      <w:r>
        <w:t xml:space="preserve"> </w:t>
      </w:r>
      <w:r>
        <w:t xml:space="preserve">Clark, J. S. 2010. Individuals and the variation needed for high species</w:t>
      </w:r>
      <w:r>
        <w:t xml:space="preserve"> </w:t>
      </w:r>
      <w:r>
        <w:t xml:space="preserve">diversity in forest trees. Science 327:1129–1132.</w:t>
      </w:r>
    </w:p>
    <w:p>
      <w:pPr>
        <w:pStyle w:val="BodyText"/>
      </w:pPr>
      <w:bookmarkStart w:id="55" w:name="ref-Clark1999a"/>
      <w:bookmarkEnd w:id="55"/>
      <w:r>
        <w:t xml:space="preserve"> </w:t>
      </w:r>
      <w:r>
        <w:t xml:space="preserve">Clark, J. S., B. Beckage, P. Camill, B. Cleveland, J. HilleRisLambers,</w:t>
      </w:r>
      <w:r>
        <w:t xml:space="preserve"> </w:t>
      </w:r>
      <w:r>
        <w:t xml:space="preserve">J. Lichter, J. McLachlan, J. Mohan, and P. Wyckoff. 1999. Interpreting</w:t>
      </w:r>
      <w:r>
        <w:t xml:space="preserve"> </w:t>
      </w:r>
      <w:r>
        <w:t xml:space="preserve">recruitment limitation in forests. American Journal of Botany 86:1–16.</w:t>
      </w:r>
    </w:p>
    <w:p>
      <w:pPr>
        <w:pStyle w:val="BodyText"/>
      </w:pPr>
      <w:bookmarkStart w:id="56" w:name="ref-CopenhaverParry2017"/>
      <w:bookmarkEnd w:id="56"/>
      <w:r>
        <w:t xml:space="preserve"> </w:t>
      </w:r>
      <w:r>
        <w:t xml:space="preserve">Copenhaver-Parry, P. E., B. N. Shuman, and D. B. Tinker. 2017. Toward an</w:t>
      </w:r>
      <w:r>
        <w:t xml:space="preserve"> </w:t>
      </w:r>
      <w:r>
        <w:t xml:space="preserve">improved conceptual understanding of North American tree species</w:t>
      </w:r>
      <w:r>
        <w:t xml:space="preserve"> </w:t>
      </w:r>
      <w:r>
        <w:t xml:space="preserve">distributions. Ecosphere 8:e01853.</w:t>
      </w:r>
    </w:p>
    <w:p>
      <w:pPr>
        <w:pStyle w:val="BodyText"/>
      </w:pPr>
      <w:bookmarkStart w:id="57" w:name="ref-Cressie2009"/>
      <w:bookmarkEnd w:id="57"/>
      <w:r>
        <w:t xml:space="preserve"> </w:t>
      </w:r>
      <w:r>
        <w:t xml:space="preserve">Cressie, N., C. A. Calder, J. S. Clark, J. M. Ver Hoef, and C. K. Wikle.</w:t>
      </w:r>
      <w:r>
        <w:t xml:space="preserve"> </w:t>
      </w:r>
      <w:r>
        <w:t xml:space="preserve">2009. Accounting for uncertainty in ecological analysis: The strengths</w:t>
      </w:r>
      <w:r>
        <w:t xml:space="preserve"> </w:t>
      </w:r>
      <w:r>
        <w:t xml:space="preserve">and limitations of hierarchical statistical modeling. Ecological</w:t>
      </w:r>
      <w:r>
        <w:t xml:space="preserve"> </w:t>
      </w:r>
      <w:r>
        <w:t xml:space="preserve">Applications 19:553–570.</w:t>
      </w:r>
    </w:p>
    <w:p>
      <w:pPr>
        <w:pStyle w:val="BodyText"/>
      </w:pPr>
      <w:bookmarkStart w:id="58" w:name="ref-Crone2016"/>
      <w:bookmarkEnd w:id="58"/>
      <w:r>
        <w:t xml:space="preserve"> </w:t>
      </w:r>
      <w:r>
        <w:t xml:space="preserve">Crone, E. E. 2016. Contrasting effects of spatial heterogeneity and</w:t>
      </w:r>
      <w:r>
        <w:t xml:space="preserve"> </w:t>
      </w:r>
      <w:r>
        <w:t xml:space="preserve">environmental stochasticity on population dynamics of a perennial</w:t>
      </w:r>
      <w:r>
        <w:t xml:space="preserve"> </w:t>
      </w:r>
      <w:r>
        <w:t xml:space="preserve">wildflower. Journal of Ecology 104:281–291.</w:t>
      </w:r>
    </w:p>
    <w:p>
      <w:pPr>
        <w:pStyle w:val="BodyText"/>
      </w:pPr>
      <w:bookmarkStart w:id="59" w:name="ref-Csergo2017"/>
      <w:bookmarkEnd w:id="59"/>
      <w:r>
        <w:t xml:space="preserve"> </w:t>
      </w:r>
      <w:r>
        <w:t xml:space="preserve">Csergo, A. M., R. Salguero-G’omez, O. Broennimann, S. R. Coutts, A.</w:t>
      </w:r>
      <w:r>
        <w:t xml:space="preserve"> </w:t>
      </w:r>
      <w:r>
        <w:t xml:space="preserve">Guisan, A. L. Angert, E. Welk, I. Stott, B. J. Enquist, B. McGill, J.-C.</w:t>
      </w:r>
      <w:r>
        <w:t xml:space="preserve"> </w:t>
      </w:r>
      <w:r>
        <w:t xml:space="preserve">Svenning, C. Violle, and Y. M. Buckley. 2017. Less favourable climates</w:t>
      </w:r>
      <w:r>
        <w:t xml:space="preserve"> </w:t>
      </w:r>
      <w:r>
        <w:t xml:space="preserve">constrain demographic strategies in plants. Ecology Letters.</w:t>
      </w:r>
    </w:p>
    <w:p>
      <w:pPr>
        <w:pStyle w:val="BodyText"/>
      </w:pPr>
      <w:bookmarkStart w:id="60" w:name="ref-Damgaard2020"/>
      <w:bookmarkEnd w:id="60"/>
      <w:r>
        <w:t xml:space="preserve"> </w:t>
      </w:r>
      <w:r>
        <w:t xml:space="preserve">Damgaard, C. 2020. Measurement Uncertainty in Ecological and</w:t>
      </w:r>
      <w:r>
        <w:t xml:space="preserve"> </w:t>
      </w:r>
      <w:r>
        <w:t xml:space="preserve">Environmental Models. Trends in Ecology and Evolution 35:871–873.</w:t>
      </w:r>
    </w:p>
    <w:p>
      <w:pPr>
        <w:pStyle w:val="BodyText"/>
      </w:pPr>
      <w:bookmarkStart w:id="61" w:name="ref-Leite2023"/>
      <w:bookmarkEnd w:id="61"/>
      <w:r>
        <w:t xml:space="preserve"> </w:t>
      </w:r>
      <w:r>
        <w:t xml:space="preserve">de Souza Leite, M., S. M. McMahon, P. I. Prado, S. J. Davies, A. A. de</w:t>
      </w:r>
      <w:r>
        <w:t xml:space="preserve"> </w:t>
      </w:r>
      <w:r>
        <w:t xml:space="preserve">Oliveira, H. P. D. Deurwaerder, S. Aguilar, K. J. Anderson-Teixeira, N.</w:t>
      </w:r>
      <w:r>
        <w:t xml:space="preserve"> </w:t>
      </w:r>
      <w:r>
        <w:t xml:space="preserve">Aqilah, N. A. Bourg, W. Y. Brockelman, N. Castaño, C.-H. Chang-Yang,</w:t>
      </w:r>
      <w:r>
        <w:t xml:space="preserve"> </w:t>
      </w:r>
      <w:r>
        <w:t xml:space="preserve">Y.-Y. Chen, G. Chuyong, K. Clay, ’Alvaro Duque, S. Ediriweera, C. E.</w:t>
      </w:r>
      <w:r>
        <w:t xml:space="preserve"> </w:t>
      </w:r>
      <w:r>
        <w:t xml:space="preserve">N. Ewango, G. Gilbert, I. A. U. N. Gunatilleke, C. V. S. Gunatilleke, R.</w:t>
      </w:r>
      <w:r>
        <w:t xml:space="preserve"> </w:t>
      </w:r>
      <w:r>
        <w:t xml:space="preserve">Howe, W. H. Huasco, A. Itoh, D. J. Johnson, D. Kenfack, K. Kr’al, Y.</w:t>
      </w:r>
      <w:r>
        <w:t xml:space="preserve"> </w:t>
      </w:r>
      <w:r>
        <w:t xml:space="preserve">T. Leong, J. A. Lutz, J.-R. Makana, Y. Malhi, W. J. McShea, M. Mohamad,</w:t>
      </w:r>
      <w:r>
        <w:t xml:space="preserve"> </w:t>
      </w:r>
      <w:r>
        <w:t xml:space="preserve">M. Nasardin, A. Nathalang, G. Parker, R. Parmigiani, R. P’erez, R. P.</w:t>
      </w:r>
      <w:r>
        <w:t xml:space="preserve"> </w:t>
      </w:r>
      <w:r>
        <w:t xml:space="preserve">Phillips, P. Šamonil, I.-F. Sun, S. Tan, D. Thomas, J. Thompson, M.</w:t>
      </w:r>
      <w:r>
        <w:t xml:space="preserve"> </w:t>
      </w:r>
      <w:r>
        <w:t xml:space="preserve">Uriarte, A. Wolf, J. Zimmerman, D. Zuleta, M. D. Visser, and L.</w:t>
      </w:r>
      <w:r>
        <w:t xml:space="preserve"> </w:t>
      </w:r>
      <w:r>
        <w:t xml:space="preserve">Hülsmann. 2023. Major axes of variation in tree demography across global</w:t>
      </w:r>
      <w:r>
        <w:t xml:space="preserve"> </w:t>
      </w:r>
      <w:r>
        <w:t xml:space="preserve">forests. bioRxiv.</w:t>
      </w:r>
    </w:p>
    <w:p>
      <w:pPr>
        <w:pStyle w:val="BodyText"/>
      </w:pPr>
      <w:bookmarkStart w:id="62" w:name="ref-Ellner2016"/>
      <w:bookmarkEnd w:id="62"/>
      <w:r>
        <w:t xml:space="preserve"> </w:t>
      </w:r>
      <w:r>
        <w:t xml:space="preserve">Ellner, S. P., D. Z. Childs, and M. Rees. 2016. Data-driven modelling of</w:t>
      </w:r>
      <w:r>
        <w:t xml:space="preserve"> </w:t>
      </w:r>
      <w:r>
        <w:t xml:space="preserve">structured populations. Springer.</w:t>
      </w:r>
    </w:p>
    <w:p>
      <w:pPr>
        <w:pStyle w:val="BodyText"/>
      </w:pPr>
      <w:bookmarkStart w:id="63" w:name="ref-Ettinger2017"/>
      <w:bookmarkEnd w:id="63"/>
      <w:r>
        <w:t xml:space="preserve"> </w:t>
      </w:r>
      <w:r>
        <w:t xml:space="preserve">Ettinger, A., and J. HilleRisLambers. 2017. Competition and facilitation</w:t>
      </w:r>
      <w:r>
        <w:t xml:space="preserve"> </w:t>
      </w:r>
      <w:r>
        <w:t xml:space="preserve">may lead to asymmetric range shift dynamics with climate change. Global</w:t>
      </w:r>
      <w:r>
        <w:t xml:space="preserve"> </w:t>
      </w:r>
      <w:r>
        <w:t xml:space="preserve">Change Biology 23:3921–3933.</w:t>
      </w:r>
    </w:p>
    <w:p>
      <w:pPr>
        <w:pStyle w:val="BodyText"/>
      </w:pPr>
      <w:bookmarkStart w:id="64" w:name="ref-Evans2016"/>
      <w:bookmarkEnd w:id="64"/>
      <w:r>
        <w:t xml:space="preserve"> </w:t>
      </w:r>
      <w:r>
        <w:t xml:space="preserve">Evans, M. E. K., C. Merow, S. Record, S. M. McMahon, and B. J. Enquist.</w:t>
      </w:r>
      <w:r>
        <w:t xml:space="preserve"> </w:t>
      </w:r>
      <w:r>
        <w:t xml:space="preserve">2016. Towards Process-based Range Modeling of Many Species. Trends in</w:t>
      </w:r>
      <w:r>
        <w:t xml:space="preserve"> </w:t>
      </w:r>
      <w:r>
        <w:t xml:space="preserve">Ecology and Evolution 31:860–871.</w:t>
      </w:r>
    </w:p>
    <w:p>
      <w:pPr>
        <w:pStyle w:val="BodyText"/>
      </w:pPr>
      <w:bookmarkStart w:id="65" w:name="ref-cmdstanr"/>
      <w:bookmarkEnd w:id="65"/>
      <w:r>
        <w:t xml:space="preserve"> </w:t>
      </w:r>
      <w:r>
        <w:t xml:space="preserve">Gabry, J., R. Češnovar, and A. Johnson. 2023. cmdstanr: R Interface to</w:t>
      </w:r>
      <w:r>
        <w:t xml:space="preserve"> </w:t>
      </w:r>
      <w:r>
        <w:t xml:space="preserve">’CmdStan’.</w:t>
      </w:r>
    </w:p>
    <w:p>
      <w:pPr>
        <w:pStyle w:val="BodyText"/>
      </w:pPr>
      <w:bookmarkStart w:id="66" w:name="ref-Godsoe2017"/>
      <w:bookmarkEnd w:id="66"/>
      <w:r>
        <w:t xml:space="preserve"> </w:t>
      </w:r>
      <w:r>
        <w:t xml:space="preserve">Godsoe, W., J. Jankowski, R. D. Holt, and D. Gravel. 2017. Integrating</w:t>
      </w:r>
      <w:r>
        <w:t xml:space="preserve"> </w:t>
      </w:r>
      <w:r>
        <w:t xml:space="preserve">Biogeography with Contemporary Niche Theory. Trends in Ecology and</w:t>
      </w:r>
      <w:r>
        <w:t xml:space="preserve"> </w:t>
      </w:r>
      <w:r>
        <w:t xml:space="preserve">Evolution 32:488–499.</w:t>
      </w:r>
    </w:p>
    <w:p>
      <w:pPr>
        <w:pStyle w:val="BodyText"/>
      </w:pPr>
      <w:bookmarkStart w:id="67" w:name="ref-Gravel2011"/>
      <w:bookmarkEnd w:id="67"/>
      <w:r>
        <w:t xml:space="preserve"> </w:t>
      </w:r>
      <w:r>
        <w:t xml:space="preserve">Gravel, D., F. Guichard, and M. E. Hochberg. 2011. Species coexistence</w:t>
      </w:r>
      <w:r>
        <w:t xml:space="preserve"> </w:t>
      </w:r>
      <w:r>
        <w:t xml:space="preserve">in a variable world. Ecology Letters 14:828–839.</w:t>
      </w:r>
    </w:p>
    <w:p>
      <w:pPr>
        <w:pStyle w:val="BodyText"/>
      </w:pPr>
      <w:bookmarkStart w:id="68" w:name="ref-Guyennon2023"/>
      <w:bookmarkEnd w:id="68"/>
      <w:r>
        <w:t xml:space="preserve"> </w:t>
      </w:r>
      <w:r>
        <w:t xml:space="preserve">Guyennon, A., B. Reineking, R. Salguero-Gomez, J. Dahlgren, A. Lehtonen,</w:t>
      </w:r>
      <w:r>
        <w:t xml:space="preserve"> </w:t>
      </w:r>
      <w:r>
        <w:t xml:space="preserve">S. Ratcliffe, P. Ruiz-Benito, M. A. Zavala, and G. Kunstler. 2023.</w:t>
      </w:r>
      <w:r>
        <w:t xml:space="preserve"> </w:t>
      </w:r>
      <w:r>
        <w:t xml:space="preserve">Beyond mean fitness: Demographic stochasticity and resilience matter at</w:t>
      </w:r>
      <w:r>
        <w:t xml:space="preserve"> </w:t>
      </w:r>
      <w:r>
        <w:t xml:space="preserve">tree species climatic edges. Global Ecology and Biogeography</w:t>
      </w:r>
      <w:r>
        <w:t xml:space="preserve"> </w:t>
      </w:r>
      <w:r>
        <w:t xml:space="preserve">32:573–585.</w:t>
      </w:r>
    </w:p>
    <w:p>
      <w:pPr>
        <w:pStyle w:val="BodyText"/>
      </w:pPr>
      <w:bookmarkStart w:id="69" w:name="ref-Harwood2003"/>
      <w:bookmarkEnd w:id="69"/>
      <w:r>
        <w:t xml:space="preserve"> </w:t>
      </w:r>
      <w:r>
        <w:t xml:space="preserve">Harwood, J., and K. Stokes. 2003. Coping with uncertainty in ecological</w:t>
      </w:r>
      <w:r>
        <w:t xml:space="preserve"> </w:t>
      </w:r>
      <w:r>
        <w:t xml:space="preserve">advice: Lessons from fisheries. Trends in Ecology and Evolution</w:t>
      </w:r>
      <w:r>
        <w:t xml:space="preserve"> </w:t>
      </w:r>
      <w:r>
        <w:t xml:space="preserve">18:617–622.</w:t>
      </w:r>
    </w:p>
    <w:p>
      <w:pPr>
        <w:pStyle w:val="BodyText"/>
      </w:pPr>
      <w:bookmarkStart w:id="70" w:name="ref-Heffernan2014"/>
      <w:bookmarkEnd w:id="70"/>
      <w:r>
        <w:t xml:space="preserve"> </w:t>
      </w:r>
      <w:r>
        <w:t xml:space="preserve">Heffernan, J. B., P. A. Soranno, M. J. Angilletta, L. B. Buckley, D. S.</w:t>
      </w:r>
      <w:r>
        <w:t xml:space="preserve"> </w:t>
      </w:r>
      <w:r>
        <w:t xml:space="preserve">Gruner, T. H. Keitt, J. R. Kellner, J. S. Kominoski, A. V. Rocha, and J.</w:t>
      </w:r>
      <w:r>
        <w:t xml:space="preserve"> </w:t>
      </w:r>
      <w:r>
        <w:t xml:space="preserve">Xiao. 2014. Macrosystems ecology: understanding ecological patterns and</w:t>
      </w:r>
      <w:r>
        <w:t xml:space="preserve"> </w:t>
      </w:r>
      <w:r>
        <w:t xml:space="preserve">processes at continental scales. Frontiers in Ecology and the</w:t>
      </w:r>
      <w:r>
        <w:t xml:space="preserve"> </w:t>
      </w:r>
      <w:r>
        <w:t xml:space="preserve">Environment 12:5–14.</w:t>
      </w:r>
    </w:p>
    <w:p>
      <w:pPr>
        <w:pStyle w:val="BodyText"/>
      </w:pPr>
      <w:bookmarkStart w:id="71" w:name="ref-holt2009"/>
      <w:bookmarkEnd w:id="71"/>
      <w:r>
        <w:t xml:space="preserve"> </w:t>
      </w:r>
      <w:r>
        <w:t xml:space="preserve">Holt, R. D. 2009. Bringing the Hutchinsonian niche into the 21st</w:t>
      </w:r>
      <w:r>
        <w:t xml:space="preserve"> </w:t>
      </w:r>
      <w:r>
        <w:t xml:space="preserve">century: ecological and evolutionary perspectives. Proceedings of the</w:t>
      </w:r>
      <w:r>
        <w:t xml:space="preserve"> </w:t>
      </w:r>
      <w:r>
        <w:t xml:space="preserve">National Academy of Sciences 106:19659–19665.</w:t>
      </w:r>
    </w:p>
    <w:p>
      <w:pPr>
        <w:pStyle w:val="BodyText"/>
      </w:pPr>
      <w:bookmarkStart w:id="72" w:name="ref-Holt2022"/>
      <w:bookmarkEnd w:id="72"/>
      <w:r>
        <w:t xml:space="preserve"> </w:t>
      </w:r>
      <w:r>
        <w:t xml:space="preserve">Holt, R. D., M. Barfield, and J. H. Peniston. 2022. Temporal variation</w:t>
      </w:r>
      <w:r>
        <w:t xml:space="preserve"> </w:t>
      </w:r>
      <w:r>
        <w:t xml:space="preserve">may have diverse impacts on range limits. Philosophical Transactions of</w:t>
      </w:r>
      <w:r>
        <w:t xml:space="preserve"> </w:t>
      </w:r>
      <w:r>
        <w:t xml:space="preserve">the Royal Society B: Biological Sciences 377.</w:t>
      </w:r>
    </w:p>
    <w:p>
      <w:pPr>
        <w:pStyle w:val="BodyText"/>
      </w:pPr>
      <w:bookmarkStart w:id="73" w:name="ref-Holt2005"/>
      <w:bookmarkEnd w:id="73"/>
      <w:r>
        <w:t xml:space="preserve"> </w:t>
      </w:r>
      <w:r>
        <w:t xml:space="preserve">Holt, R. D., T. H. Keitt, M. a Lewis, B. a Maurer, and M. L. Taper.</w:t>
      </w:r>
      <w:r>
        <w:t xml:space="preserve"> </w:t>
      </w:r>
      <w:r>
        <w:t xml:space="preserve">2005. Theoretical models of species’ borders: single species approaches.</w:t>
      </w:r>
      <w:r>
        <w:t xml:space="preserve"> </w:t>
      </w:r>
      <w:r>
        <w:t xml:space="preserve">Schurr2012 108:18–27.</w:t>
      </w:r>
    </w:p>
    <w:p>
      <w:pPr>
        <w:pStyle w:val="BodyText"/>
      </w:pPr>
      <w:bookmarkStart w:id="74" w:name="ref-Hutchinson1957"/>
      <w:bookmarkEnd w:id="74"/>
      <w:r>
        <w:t xml:space="preserve"> </w:t>
      </w:r>
      <w:r>
        <w:t xml:space="preserve">Hutchinson, G. E. 1957. Concluding remarks. Pages 415–427</w:t>
      </w:r>
      <w:r>
        <w:t xml:space="preserve"> </w:t>
      </w:r>
      <w:r>
        <w:rPr>
          <w:i/>
        </w:rPr>
        <w:t xml:space="preserve">in</w:t>
      </w:r>
      <w:r>
        <w:t xml:space="preserve"> </w:t>
      </w:r>
      <w:r>
        <w:t xml:space="preserve">Cold spring harbor symposium on quantitative biology.</w:t>
      </w:r>
    </w:p>
    <w:p>
      <w:pPr>
        <w:pStyle w:val="BodyText"/>
      </w:pPr>
      <w:bookmarkStart w:id="75" w:name="ref-Kaber2021"/>
      <w:bookmarkEnd w:id="75"/>
      <w:r>
        <w:t xml:space="preserve"> </w:t>
      </w:r>
      <w:r>
        <w:t xml:space="preserve">Käber, Y., P. Meyer, J. Stillhard, E. De Lombaerde, J. Zell, G.</w:t>
      </w:r>
      <w:r>
        <w:t xml:space="preserve"> </w:t>
      </w:r>
      <w:r>
        <w:t xml:space="preserve">Stadelmann, H. Bugmann, and C. Bigler. 2021. Tree recruitment is</w:t>
      </w:r>
      <w:r>
        <w:t xml:space="preserve"> </w:t>
      </w:r>
      <w:r>
        <w:t xml:space="preserve">determined by stand structure and shade tolerance with uncertain role of</w:t>
      </w:r>
      <w:r>
        <w:t xml:space="preserve"> </w:t>
      </w:r>
      <w:r>
        <w:t xml:space="preserve">climate and water relations. Ecology and Evolution 11:12182–12203.</w:t>
      </w:r>
    </w:p>
    <w:p>
      <w:pPr>
        <w:pStyle w:val="BodyText"/>
      </w:pPr>
      <w:bookmarkStart w:id="76" w:name="ref-Koons2009"/>
      <w:bookmarkEnd w:id="76"/>
      <w:r>
        <w:t xml:space="preserve"> </w:t>
      </w:r>
      <w:r>
        <w:t xml:space="preserve">Koons, D. N., S. Pavard, A. Baudisch, and C. Jessica E. Metcalf. 2009.</w:t>
      </w:r>
      <w:r>
        <w:t xml:space="preserve"> </w:t>
      </w:r>
      <w:r>
        <w:t xml:space="preserve">Is life-history buffering or lability adaptive in stochastic</w:t>
      </w:r>
      <w:r>
        <w:t xml:space="preserve"> </w:t>
      </w:r>
      <w:r>
        <w:t xml:space="preserve">environments? Oikos 118:972–980.</w:t>
      </w:r>
    </w:p>
    <w:p>
      <w:pPr>
        <w:pStyle w:val="BodyText"/>
      </w:pPr>
      <w:bookmarkStart w:id="77" w:name="ref-Kunstler2021"/>
      <w:bookmarkEnd w:id="77"/>
      <w:r>
        <w:t xml:space="preserve"> </w:t>
      </w:r>
      <w:r>
        <w:t xml:space="preserve">Kunstler, G., A. Guyennon, S. Ratcliffe, N. Rüger, P. Ruiz-Benito, D. Z.</w:t>
      </w:r>
      <w:r>
        <w:t xml:space="preserve"> </w:t>
      </w:r>
      <w:r>
        <w:t xml:space="preserve">Childs, J. Dahlgren, A. Lehtonen, W. Thuiller, C. Wirth, M. A. Zavala,</w:t>
      </w:r>
      <w:r>
        <w:t xml:space="preserve"> </w:t>
      </w:r>
      <w:r>
        <w:t xml:space="preserve">and R. Salguero-Gomez. 2021. Demographic performance of European tree</w:t>
      </w:r>
      <w:r>
        <w:t xml:space="preserve"> </w:t>
      </w:r>
      <w:r>
        <w:t xml:space="preserve">species at their hot and cold climatic edges. Journal of Ecology</w:t>
      </w:r>
      <w:r>
        <w:t xml:space="preserve"> </w:t>
      </w:r>
      <w:r>
        <w:t xml:space="preserve">109:1041–1054.</w:t>
      </w:r>
    </w:p>
    <w:p>
      <w:pPr>
        <w:pStyle w:val="BodyText"/>
      </w:pPr>
      <w:bookmarkStart w:id="78" w:name="ref-leslie1945"/>
      <w:bookmarkEnd w:id="78"/>
      <w:r>
        <w:t xml:space="preserve"> </w:t>
      </w:r>
      <w:r>
        <w:t xml:space="preserve">Leslie, P. H. 1945. On the use of matrices in certain population</w:t>
      </w:r>
      <w:r>
        <w:t xml:space="preserve"> </w:t>
      </w:r>
      <w:r>
        <w:t xml:space="preserve">mathematics. Sankhyt 33:183–212.</w:t>
      </w:r>
    </w:p>
    <w:p>
      <w:pPr>
        <w:pStyle w:val="BodyText"/>
      </w:pPr>
      <w:bookmarkStart w:id="79" w:name="ref-LeSquin2021"/>
      <w:bookmarkEnd w:id="79"/>
      <w:r>
        <w:t xml:space="preserve"> </w:t>
      </w:r>
      <w:r>
        <w:t xml:space="preserve">Le Squin, A., I. Boulangeat, and D. Gravel. 2021. Climate-induced</w:t>
      </w:r>
      <w:r>
        <w:t xml:space="preserve"> </w:t>
      </w:r>
      <w:r>
        <w:t xml:space="preserve">variation in the demography of 14 tree species is not sufficient to</w:t>
      </w:r>
      <w:r>
        <w:t xml:space="preserve"> </w:t>
      </w:r>
      <w:r>
        <w:t xml:space="preserve">explain their distribution in eastern North America. Global Ecology and</w:t>
      </w:r>
      <w:r>
        <w:t xml:space="preserve"> </w:t>
      </w:r>
      <w:r>
        <w:t xml:space="preserve">Biogeography 30:352–369.</w:t>
      </w:r>
    </w:p>
    <w:p>
      <w:pPr>
        <w:pStyle w:val="BodyText"/>
      </w:pPr>
      <w:bookmarkStart w:id="80" w:name="ref-Levins1969"/>
      <w:bookmarkEnd w:id="80"/>
      <w:r>
        <w:t xml:space="preserve"> </w:t>
      </w:r>
      <w:r>
        <w:t xml:space="preserve">Levins, R. 1969. Some Demographic and Genetic Consequences of</w:t>
      </w:r>
      <w:r>
        <w:t xml:space="preserve"> </w:t>
      </w:r>
      <w:r>
        <w:t xml:space="preserve">Environmental Heterogeneity for Biological Control. Bulletin of the</w:t>
      </w:r>
      <w:r>
        <w:t xml:space="preserve"> </w:t>
      </w:r>
      <w:r>
        <w:t xml:space="preserve">Entomological Society of America 15:237–240.</w:t>
      </w:r>
    </w:p>
    <w:p>
      <w:pPr>
        <w:pStyle w:val="BodyText"/>
      </w:pPr>
      <w:bookmarkStart w:id="81" w:name="ref-Lewis1942"/>
      <w:bookmarkEnd w:id="81"/>
      <w:r>
        <w:t xml:space="preserve"> </w:t>
      </w:r>
      <w:r>
        <w:t xml:space="preserve">Lewis, E. G. 1942. On the generation and growth of a population. Sankhyã</w:t>
      </w:r>
      <w:r>
        <w:t xml:space="preserve"> </w:t>
      </w:r>
      <w:r>
        <w:t xml:space="preserve">6:93–96.</w:t>
      </w:r>
    </w:p>
    <w:p>
      <w:pPr>
        <w:pStyle w:val="BodyText"/>
      </w:pPr>
      <w:bookmarkStart w:id="82" w:name="ref-Louthan2015"/>
      <w:bookmarkEnd w:id="82"/>
      <w:r>
        <w:t xml:space="preserve"> </w:t>
      </w:r>
      <w:r>
        <w:t xml:space="preserve">Louthan, A. M., D. F. Doak, and A. L. Angert. 2015. Where and When do</w:t>
      </w:r>
      <w:r>
        <w:t xml:space="preserve"> </w:t>
      </w:r>
      <w:r>
        <w:t xml:space="preserve">Species Interactions Set Range Limits? Trends in Ecology and Evolution</w:t>
      </w:r>
      <w:r>
        <w:t xml:space="preserve"> </w:t>
      </w:r>
      <w:r>
        <w:t xml:space="preserve">30:780–792.</w:t>
      </w:r>
    </w:p>
    <w:p>
      <w:pPr>
        <w:pStyle w:val="BodyText"/>
      </w:pPr>
      <w:bookmarkStart w:id="83" w:name="ref-Lyu2022"/>
      <w:bookmarkEnd w:id="83"/>
      <w:r>
        <w:t xml:space="preserve"> </w:t>
      </w:r>
      <w:r>
        <w:t xml:space="preserve">Lyu, S., and J. M. Alexander. 2022. Competition contributes to both warm</w:t>
      </w:r>
      <w:r>
        <w:t xml:space="preserve"> </w:t>
      </w:r>
      <w:r>
        <w:t xml:space="preserve">and cool range edges. Nature Communications 13:1–9.</w:t>
      </w:r>
    </w:p>
    <w:p>
      <w:pPr>
        <w:pStyle w:val="BodyText"/>
      </w:pPr>
      <w:bookmarkStart w:id="84" w:name="ref-maguire1973niche"/>
      <w:bookmarkEnd w:id="84"/>
      <w:r>
        <w:t xml:space="preserve"> </w:t>
      </w:r>
      <w:r>
        <w:t xml:space="preserve">Maguire Jr, B. 1973. Niche response structure and the analytical</w:t>
      </w:r>
      <w:r>
        <w:t xml:space="preserve"> </w:t>
      </w:r>
      <w:r>
        <w:t xml:space="preserve">potentials of its relationship to the habitat. The American Naturalist</w:t>
      </w:r>
      <w:r>
        <w:t xml:space="preserve"> </w:t>
      </w:r>
      <w:r>
        <w:t xml:space="preserve">107:213–246.</w:t>
      </w:r>
    </w:p>
    <w:p>
      <w:pPr>
        <w:pStyle w:val="BodyText"/>
      </w:pPr>
      <w:bookmarkStart w:id="85" w:name="ref-May1978"/>
      <w:bookmarkEnd w:id="85"/>
      <w:r>
        <w:t xml:space="preserve"> </w:t>
      </w:r>
      <w:r>
        <w:t xml:space="preserve">May, R. M., J. R. Beddington, J. W. Horwood, and J. G. Shepherd. 1978.</w:t>
      </w:r>
      <w:r>
        <w:t xml:space="preserve"> </w:t>
      </w:r>
      <w:r>
        <w:t xml:space="preserve">Exploiting natural populations in an uncertain world. Mathematical</w:t>
      </w:r>
      <w:r>
        <w:t xml:space="preserve"> </w:t>
      </w:r>
      <w:r>
        <w:t xml:space="preserve">Biosciences 42:219–252.</w:t>
      </w:r>
    </w:p>
    <w:p>
      <w:pPr>
        <w:pStyle w:val="BodyText"/>
      </w:pPr>
      <w:bookmarkStart w:id="86" w:name="ref-McGill2010"/>
      <w:bookmarkEnd w:id="86"/>
      <w:r>
        <w:t xml:space="preserve"> </w:t>
      </w:r>
      <w:r>
        <w:t xml:space="preserve">McGill, B. J. 2010. Matters of scale. Science 328:575–576.</w:t>
      </w:r>
    </w:p>
    <w:p>
      <w:pPr>
        <w:pStyle w:val="BodyText"/>
      </w:pPr>
      <w:bookmarkStart w:id="87" w:name="ref-McGill2012"/>
      <w:bookmarkEnd w:id="87"/>
      <w:r>
        <w:t xml:space="preserve"> </w:t>
      </w:r>
      <w:r>
        <w:t xml:space="preserve">McGill, B. J. 2012. Trees are rarely most abundant where they grow best.</w:t>
      </w:r>
      <w:r>
        <w:t xml:space="preserve"> </w:t>
      </w:r>
      <w:r>
        <w:t xml:space="preserve">Journal of Plant Ecology 5:46–51.</w:t>
      </w:r>
    </w:p>
    <w:p>
      <w:pPr>
        <w:pStyle w:val="BodyText"/>
      </w:pPr>
      <w:bookmarkStart w:id="88" w:name="ref-Midolo2021"/>
      <w:bookmarkEnd w:id="88"/>
      <w:r>
        <w:t xml:space="preserve"> </w:t>
      </w:r>
      <w:r>
        <w:t xml:space="preserve">Midolo, G., C. Wellstein, and S. Faurby. 2021. Individual fitness is</w:t>
      </w:r>
      <w:r>
        <w:t xml:space="preserve"> </w:t>
      </w:r>
      <w:r>
        <w:t xml:space="preserve">decoupled from coarse-scale probability of occurrence in North American</w:t>
      </w:r>
      <w:r>
        <w:t xml:space="preserve"> </w:t>
      </w:r>
      <w:r>
        <w:t xml:space="preserve">trees. Ecography 44:789–801.</w:t>
      </w:r>
    </w:p>
    <w:p>
      <w:pPr>
        <w:pStyle w:val="BodyText"/>
      </w:pPr>
      <w:bookmarkStart w:id="89" w:name="ref-milles2023"/>
      <w:bookmarkEnd w:id="89"/>
      <w:r>
        <w:t xml:space="preserve"> </w:t>
      </w:r>
      <w:r>
        <w:t xml:space="preserve">Milles, A., T. Banitz, M. Bielcik, K. Frank, C. A. Gallagher, F.</w:t>
      </w:r>
      <w:r>
        <w:t xml:space="preserve"> </w:t>
      </w:r>
      <w:r>
        <w:t xml:space="preserve">Jeltsch, J. U. Jepsen, D. Oro, V. Radchuk, and V. Grimm. 2023. Local</w:t>
      </w:r>
      <w:r>
        <w:t xml:space="preserve"> </w:t>
      </w:r>
      <w:r>
        <w:t xml:space="preserve">buffer mechanisms for population persistence. Trends in Ecology &amp;</w:t>
      </w:r>
      <w:r>
        <w:t xml:space="preserve"> </w:t>
      </w:r>
      <w:r>
        <w:t xml:space="preserve">Evolution 38:1051–1059.</w:t>
      </w:r>
    </w:p>
    <w:p>
      <w:pPr>
        <w:pStyle w:val="BodyText"/>
      </w:pPr>
      <w:bookmarkStart w:id="90" w:name="ref-Naturelles2016"/>
      <w:bookmarkEnd w:id="90"/>
      <w:r>
        <w:t xml:space="preserve"> </w:t>
      </w:r>
      <w:r>
        <w:t xml:space="preserve">Minist‘ere des Ressources Naturelles. 2016. Norme d’inventaire</w:t>
      </w:r>
      <w:r>
        <w:t xml:space="preserve"> </w:t>
      </w:r>
      <w:r>
        <w:t xml:space="preserve">ecoforestier: placettes-echantillons temporaires. Direction des</w:t>
      </w:r>
      <w:r>
        <w:t xml:space="preserve"> </w:t>
      </w:r>
      <w:r>
        <w:t xml:space="preserve">inventaires forestier, Ministère des Ressources naturelles,Québec.</w:t>
      </w:r>
    </w:p>
    <w:p>
      <w:pPr>
        <w:pStyle w:val="BodyText"/>
      </w:pPr>
      <w:bookmarkStart w:id="91" w:name="ref-Morin2007"/>
      <w:bookmarkEnd w:id="91"/>
      <w:r>
        <w:t xml:space="preserve"> </w:t>
      </w:r>
      <w:r>
        <w:t xml:space="preserve">Morin, X., C. Augspurger, and I. Chuine. 2007. Process-based modeling of</w:t>
      </w:r>
      <w:r>
        <w:t xml:space="preserve"> </w:t>
      </w:r>
      <w:r>
        <w:t xml:space="preserve">species’ distributions: what limits temperate tree species’ range</w:t>
      </w:r>
      <w:r>
        <w:t xml:space="preserve"> </w:t>
      </w:r>
      <w:r>
        <w:t xml:space="preserve">boundaries? Ecology 88:2280–2291.</w:t>
      </w:r>
    </w:p>
    <w:p>
      <w:pPr>
        <w:pStyle w:val="BodyText"/>
      </w:pPr>
      <w:bookmarkStart w:id="92" w:name="ref-OConnell2007"/>
      <w:bookmarkEnd w:id="92"/>
      <w:r>
        <w:t xml:space="preserve"> </w:t>
      </w:r>
      <w:r>
        <w:t xml:space="preserve">O’Connell, M. B., E. B. LaPoint, J. A. Turner, T. Ridley, D. Boyer, A.</w:t>
      </w:r>
      <w:r>
        <w:t xml:space="preserve"> </w:t>
      </w:r>
      <w:r>
        <w:t xml:space="preserve">Wilson, K. L. Waddell, and B. L. Conkling. 2007. The forest inventory</w:t>
      </w:r>
      <w:r>
        <w:t xml:space="preserve"> </w:t>
      </w:r>
      <w:r>
        <w:t xml:space="preserve">and analysis database: Database description and users forest inventory</w:t>
      </w:r>
      <w:r>
        <w:t xml:space="preserve"> </w:t>
      </w:r>
      <w:r>
        <w:t xml:space="preserve">and analysis program. US Department of Agriculture, Forest Service.</w:t>
      </w:r>
    </w:p>
    <w:p>
      <w:pPr>
        <w:pStyle w:val="BodyText"/>
      </w:pPr>
      <w:bookmarkStart w:id="93" w:name="ref-Paquette2021"/>
      <w:bookmarkEnd w:id="93"/>
      <w:r>
        <w:t xml:space="preserve"> </w:t>
      </w:r>
      <w:r>
        <w:t xml:space="preserve">Paquette, A., and A. L. Hargreaves. 2021. Biotic interactions are more</w:t>
      </w:r>
      <w:r>
        <w:t xml:space="preserve"> </w:t>
      </w:r>
      <w:r>
        <w:t xml:space="preserve">often important at species’ warm versus cool range edges. Ecology</w:t>
      </w:r>
      <w:r>
        <w:t xml:space="preserve"> </w:t>
      </w:r>
      <w:r>
        <w:t xml:space="preserve">Letters 24:2427–2438.</w:t>
      </w:r>
    </w:p>
    <w:p>
      <w:pPr>
        <w:pStyle w:val="BodyText"/>
      </w:pPr>
      <w:bookmarkStart w:id="94" w:name="ref-Pulliam2000"/>
      <w:bookmarkEnd w:id="94"/>
      <w:r>
        <w:t xml:space="preserve"> </w:t>
      </w:r>
      <w:r>
        <w:t xml:space="preserve">Pulliam, H. R. 2000. On the relationship between niche and distribution.</w:t>
      </w:r>
      <w:r>
        <w:t xml:space="preserve"> </w:t>
      </w:r>
      <w:r>
        <w:t xml:space="preserve">Ecology Letters 3:349–361.</w:t>
      </w:r>
    </w:p>
    <w:p>
      <w:pPr>
        <w:pStyle w:val="BodyText"/>
      </w:pPr>
      <w:bookmarkStart w:id="95" w:name="ref-Purves2009"/>
      <w:bookmarkEnd w:id="95"/>
      <w:r>
        <w:t xml:space="preserve"> </w:t>
      </w:r>
      <w:r>
        <w:t xml:space="preserve">Purves, D. W. 2009. The demography of range boundaries versus range</w:t>
      </w:r>
      <w:r>
        <w:t xml:space="preserve"> </w:t>
      </w:r>
      <w:r>
        <w:t xml:space="preserve">cores in eastern US tree species. Proceedings of the Royal Society B:</w:t>
      </w:r>
      <w:r>
        <w:t xml:space="preserve"> </w:t>
      </w:r>
      <w:r>
        <w:t xml:space="preserve">Biological Sciences 276:1477–1484.</w:t>
      </w:r>
    </w:p>
    <w:p>
      <w:pPr>
        <w:pStyle w:val="BodyText"/>
      </w:pPr>
      <w:bookmarkStart w:id="96" w:name="ref-Scherrer2020"/>
      <w:bookmarkEnd w:id="96"/>
      <w:r>
        <w:t xml:space="preserve"> </w:t>
      </w:r>
      <w:r>
        <w:t xml:space="preserve">Scherrer, D., Y. Vitasse, A. Guisan, T. Wohlgemuth, and H. Lischke.</w:t>
      </w:r>
      <w:r>
        <w:t xml:space="preserve"> </w:t>
      </w:r>
      <w:r>
        <w:t xml:space="preserve">2020. Competition and demography rather than dispersal limitation slow</w:t>
      </w:r>
      <w:r>
        <w:t xml:space="preserve"> </w:t>
      </w:r>
      <w:r>
        <w:t xml:space="preserve">down upward shifts of trees’ upper elevation limits in the Alps. Journal</w:t>
      </w:r>
      <w:r>
        <w:t xml:space="preserve"> </w:t>
      </w:r>
      <w:r>
        <w:t xml:space="preserve">of Ecology:1–15.</w:t>
      </w:r>
    </w:p>
    <w:p>
      <w:pPr>
        <w:pStyle w:val="BodyText"/>
      </w:pPr>
      <w:bookmarkStart w:id="97" w:name="ref-Schreiber2009"/>
      <w:bookmarkEnd w:id="97"/>
      <w:r>
        <w:t xml:space="preserve"> </w:t>
      </w:r>
      <w:r>
        <w:t xml:space="preserve">Schreiber, S. J., and J. O. Lloyd-Smith. 2009. Invasion dynamics in</w:t>
      </w:r>
      <w:r>
        <w:t xml:space="preserve"> </w:t>
      </w:r>
      <w:r>
        <w:t xml:space="preserve">spatially heterogeneous environments. American Naturalist 174:490–505.</w:t>
      </w:r>
    </w:p>
    <w:p>
      <w:pPr>
        <w:pStyle w:val="BodyText"/>
      </w:pPr>
      <w:bookmarkStart w:id="98" w:name="ref-schultz2022"/>
      <w:bookmarkEnd w:id="98"/>
      <w:r>
        <w:t xml:space="preserve"> </w:t>
      </w:r>
      <w:r>
        <w:t xml:space="preserve">Schultz, E. L., L. Hülsmann, M. D. Pillet, F. Hartig, D. D. Breshears,</w:t>
      </w:r>
      <w:r>
        <w:t xml:space="preserve"> </w:t>
      </w:r>
      <w:r>
        <w:t xml:space="preserve">S. Record, J. D. Shaw, R. J. DeRose, P. A. Zuidema, and M. E. K. Evans.</w:t>
      </w:r>
      <w:r>
        <w:t xml:space="preserve"> </w:t>
      </w:r>
      <w:r>
        <w:t xml:space="preserve">2022. Climate-driven, but dynamic and complex? A reconciliation of</w:t>
      </w:r>
      <w:r>
        <w:t xml:space="preserve"> </w:t>
      </w:r>
      <w:r>
        <w:t xml:space="preserve">competing hypotheses for species’ distributions. Ecology letters</w:t>
      </w:r>
      <w:r>
        <w:t xml:space="preserve"> </w:t>
      </w:r>
      <w:r>
        <w:t xml:space="preserve">25:38–51.</w:t>
      </w:r>
    </w:p>
    <w:p>
      <w:pPr>
        <w:pStyle w:val="BodyText"/>
      </w:pPr>
      <w:bookmarkStart w:id="99" w:name="ref-Shi2020"/>
      <w:bookmarkEnd w:id="99"/>
      <w:r>
        <w:t xml:space="preserve"> </w:t>
      </w:r>
      <w:r>
        <w:t xml:space="preserve">Shi, H., Q. Zhou, F. Xie, N. He, R. He, K. Zhang, Q. Zhang, and H. Dang.</w:t>
      </w:r>
      <w:r>
        <w:t xml:space="preserve"> </w:t>
      </w:r>
      <w:r>
        <w:t xml:space="preserve">2020. Disparity in elevational shifts of upper species limits in</w:t>
      </w:r>
      <w:r>
        <w:t xml:space="preserve"> </w:t>
      </w:r>
      <w:r>
        <w:t xml:space="preserve">response to recent climate warming in the Qinling Mountains,</w:t>
      </w:r>
      <w:r>
        <w:t xml:space="preserve"> </w:t>
      </w:r>
      <w:r>
        <w:t xml:space="preserve">North-central China. Science of the Total Environment 706:135718.</w:t>
      </w:r>
    </w:p>
    <w:p>
      <w:pPr>
        <w:pStyle w:val="BodyText"/>
      </w:pPr>
      <w:bookmarkStart w:id="100" w:name="ref-Shoemaker2020"/>
      <w:bookmarkEnd w:id="100"/>
      <w:r>
        <w:t xml:space="preserve"> </w:t>
      </w:r>
      <w:r>
        <w:t xml:space="preserve">Shoemaker, L. G., L. L. Sullivan, I. Donohue, J. S. Cabral, R. J.</w:t>
      </w:r>
      <w:r>
        <w:t xml:space="preserve"> </w:t>
      </w:r>
      <w:r>
        <w:t xml:space="preserve">Williams, M. M. Mayfield, J. M. Chase, C. Chu, W. S. Harpole, A. Huth,</w:t>
      </w:r>
      <w:r>
        <w:t xml:space="preserve"> </w:t>
      </w:r>
      <w:r>
        <w:t xml:space="preserve">J. HilleRisLambers, A. R. M. James, N. J. B. Kraft, F. May, R.</w:t>
      </w:r>
      <w:r>
        <w:t xml:space="preserve"> </w:t>
      </w:r>
      <w:r>
        <w:t xml:space="preserve">Muthukrishnan, S. Satterlee, F. Taubert, X. Wang, T. Wiegand, Q. Yang,</w:t>
      </w:r>
      <w:r>
        <w:t xml:space="preserve"> </w:t>
      </w:r>
      <w:r>
        <w:t xml:space="preserve">and K. C. Abbott. 2020. Integrating the underlying structure of</w:t>
      </w:r>
      <w:r>
        <w:t xml:space="preserve"> </w:t>
      </w:r>
      <w:r>
        <w:t xml:space="preserve">stochasticity into community ecology. Ecology 101:1–15.</w:t>
      </w:r>
    </w:p>
    <w:p>
      <w:pPr>
        <w:pStyle w:val="BodyText"/>
      </w:pPr>
      <w:bookmarkStart w:id="101" w:name="ref-Sittaro2017"/>
      <w:bookmarkEnd w:id="101"/>
      <w:r>
        <w:t xml:space="preserve"> </w:t>
      </w:r>
      <w:r>
        <w:t xml:space="preserve">Sittaro, F., A. Paquette, C. Messier, and C. A. Nock. 2017. Tree range</w:t>
      </w:r>
      <w:r>
        <w:t xml:space="preserve"> </w:t>
      </w:r>
      <w:r>
        <w:t xml:space="preserve">expansion in eastern North America fails to keep pace with climate</w:t>
      </w:r>
      <w:r>
        <w:t xml:space="preserve"> </w:t>
      </w:r>
      <w:r>
        <w:t xml:space="preserve">warming at northern range limits. Global Change Biology:1–10.</w:t>
      </w:r>
    </w:p>
    <w:p>
      <w:pPr>
        <w:pStyle w:val="BodyText"/>
      </w:pPr>
      <w:bookmarkStart w:id="102" w:name="ref-Soberon2007"/>
      <w:bookmarkEnd w:id="102"/>
      <w:r>
        <w:t xml:space="preserve"> </w:t>
      </w:r>
      <w:r>
        <w:t xml:space="preserve">Sober’on, J. 2007. Grinnellian and Eltonian niches and geographic</w:t>
      </w:r>
      <w:r>
        <w:t xml:space="preserve"> </w:t>
      </w:r>
      <w:r>
        <w:t xml:space="preserve">distributions of species. Ecology Letters 10:1115–1123.</w:t>
      </w:r>
    </w:p>
    <w:p>
      <w:pPr>
        <w:pStyle w:val="BodyText"/>
      </w:pPr>
      <w:bookmarkStart w:id="103" w:name="ref-Svenning2007"/>
      <w:bookmarkEnd w:id="103"/>
      <w:r>
        <w:t xml:space="preserve"> </w:t>
      </w:r>
      <w:r>
        <w:t xml:space="preserve">Svenning, J. C., and F. Skov. 2007. Could the tree diversity pattern in</w:t>
      </w:r>
      <w:r>
        <w:t xml:space="preserve"> </w:t>
      </w:r>
      <w:r>
        <w:t xml:space="preserve">Europe be generated by postglacial dispersal limitation? Ecology Letters</w:t>
      </w:r>
      <w:r>
        <w:t xml:space="preserve"> </w:t>
      </w:r>
      <w:r>
        <w:t xml:space="preserve">10:453–460.</w:t>
      </w:r>
    </w:p>
    <w:p>
      <w:pPr>
        <w:pStyle w:val="BodyText"/>
      </w:pPr>
      <w:bookmarkStart w:id="104" w:name="ref-Talluto2017"/>
      <w:bookmarkEnd w:id="104"/>
      <w:r>
        <w:t xml:space="preserve"> </w:t>
      </w:r>
      <w:r>
        <w:t xml:space="preserve">Talluto, M. V., I. Boulangeat, S. Vissault, W. Thuiller, and D. Gravel.</w:t>
      </w:r>
      <w:r>
        <w:t xml:space="preserve"> </w:t>
      </w:r>
      <w:r>
        <w:t xml:space="preserve">2017. Extinction debt and colonization credit delay range shifts of</w:t>
      </w:r>
      <w:r>
        <w:t xml:space="preserve"> </w:t>
      </w:r>
      <w:r>
        <w:t xml:space="preserve">eastern North American trees. Nature Ecology &amp; Evolution 1:0182.</w:t>
      </w:r>
    </w:p>
    <w:p>
      <w:pPr>
        <w:pStyle w:val="BodyText"/>
      </w:pPr>
      <w:bookmarkStart w:id="105" w:name="ref-stan2022stan"/>
      <w:bookmarkEnd w:id="105"/>
      <w:r>
        <w:t xml:space="preserve"> </w:t>
      </w:r>
      <w:r>
        <w:t xml:space="preserve">Team, S. D., and Others. 2022. Stan modeling language users guide and</w:t>
      </w:r>
      <w:r>
        <w:t xml:space="preserve"> </w:t>
      </w:r>
      <w:r>
        <w:t xml:space="preserve">reference manual, version 2.30.1. Stan Development Team.</w:t>
      </w:r>
    </w:p>
    <w:p>
      <w:pPr>
        <w:pStyle w:val="BodyText"/>
      </w:pPr>
      <w:bookmarkStart w:id="106" w:name="ref-Terry2022"/>
      <w:bookmarkEnd w:id="106"/>
      <w:r>
        <w:t xml:space="preserve"> </w:t>
      </w:r>
      <w:r>
        <w:t xml:space="preserve">Terry, J. C. D., J. D. O’Sullivan, and A. G. Rossberg. 2022.</w:t>
      </w:r>
      <w:r>
        <w:t xml:space="preserve"> </w:t>
      </w:r>
      <w:r>
        <w:t xml:space="preserve">Synthesising the multiple impacts of climatic variability on community</w:t>
      </w:r>
      <w:r>
        <w:t xml:space="preserve"> </w:t>
      </w:r>
      <w:r>
        <w:t xml:space="preserve">responses to climate change. Ecography 2022:e06123.</w:t>
      </w:r>
    </w:p>
    <w:p>
      <w:pPr>
        <w:pStyle w:val="BodyText"/>
      </w:pPr>
      <w:bookmarkStart w:id="107" w:name="ref-Thuiller2014"/>
      <w:bookmarkEnd w:id="107"/>
      <w:r>
        <w:t xml:space="preserve"> </w:t>
      </w:r>
      <w:r>
        <w:t xml:space="preserve">Thuiller, W., T. Munkemuller, K. H. Schiffers, D. Georges, S. Dullinger,</w:t>
      </w:r>
      <w:r>
        <w:t xml:space="preserve"> </w:t>
      </w:r>
      <w:r>
        <w:t xml:space="preserve">V. M. Eckhart, T. C. Edwards, D. Gravel, G. Kunstler, C. Merow, K.</w:t>
      </w:r>
      <w:r>
        <w:t xml:space="preserve"> </w:t>
      </w:r>
      <w:r>
        <w:t xml:space="preserve">Moore, C. Piedallu, S. Vissault, N. E. Zimmermann, D. Zurell, F. M.</w:t>
      </w:r>
      <w:r>
        <w:t xml:space="preserve"> </w:t>
      </w:r>
      <w:r>
        <w:t xml:space="preserve">Schurr, T. Münkemüller, K. H. Schiffers, D. Georges, S. Dullinger, V. M.</w:t>
      </w:r>
      <w:r>
        <w:t xml:space="preserve"> </w:t>
      </w:r>
      <w:r>
        <w:t xml:space="preserve">Eckhart, T. C. Edwards, D. Gravel, G. Kunstler, C. Merow, K. Moore, C.</w:t>
      </w:r>
      <w:r>
        <w:t xml:space="preserve"> </w:t>
      </w:r>
      <w:r>
        <w:t xml:space="preserve">Piedallu, S. Vissault, N. E. Zimmermann, D. Zurell, and F. M. Schurr.</w:t>
      </w:r>
      <w:r>
        <w:t xml:space="preserve"> </w:t>
      </w:r>
      <w:r>
        <w:t xml:space="preserve">2014. Does probability of occurrence relate to population dynamics?</w:t>
      </w:r>
      <w:r>
        <w:t xml:space="preserve"> </w:t>
      </w:r>
      <w:r>
        <w:t xml:space="preserve">Ecography 37:1155–1166.</w:t>
      </w:r>
    </w:p>
    <w:p>
      <w:pPr>
        <w:pStyle w:val="BodyText"/>
      </w:pPr>
      <w:bookmarkStart w:id="108" w:name="ref-van2020"/>
      <w:bookmarkEnd w:id="108"/>
      <w:r>
        <w:t xml:space="preserve"> </w:t>
      </w:r>
      <w:r>
        <w:t xml:space="preserve">van Daalen, S., and H. Caswell. 2020. Variance as a life history</w:t>
      </w:r>
      <w:r>
        <w:t xml:space="preserve"> </w:t>
      </w:r>
      <w:r>
        <w:t xml:space="preserve">outcome: Sensitivity analysis of the contributions of stochasticity and</w:t>
      </w:r>
      <w:r>
        <w:t xml:space="preserve"> </w:t>
      </w:r>
      <w:r>
        <w:t xml:space="preserve">heterogeneity. Ecological Modelling 417.</w:t>
      </w:r>
    </w:p>
    <w:p>
      <w:pPr>
        <w:pStyle w:val="BodyText"/>
      </w:pPr>
      <w:bookmarkStart w:id="109" w:name="ref-Zhang2015"/>
      <w:bookmarkEnd w:id="109"/>
      <w:r>
        <w:t xml:space="preserve"> </w:t>
      </w:r>
      <w:r>
        <w:t xml:space="preserve">Zhang, J., S. Huang, and F. He. 2015. Half-century evidence from western</w:t>
      </w:r>
      <w:r>
        <w:t xml:space="preserve"> </w:t>
      </w:r>
      <w:r>
        <w:t xml:space="preserve">Canada shows forest dynamics are primarily driven by competition</w:t>
      </w:r>
      <w:r>
        <w:t xml:space="preserve"> </w:t>
      </w:r>
      <w:r>
        <w:t xml:space="preserve">followed by climate. Proceedings of the National Academy of Sciences</w:t>
      </w:r>
      <w:r>
        <w:t xml:space="preserve"> </w:t>
      </w:r>
      <w:r>
        <w:t xml:space="preserve">112:4009–4014.</w:t>
      </w:r>
    </w:p>
    <w:bookmarkEnd w:id="110"/>
    <w:sectPr w:rsidR="003A5463" w:rsidRPr="003A5463">
      <w:type w:val="continuous"/>
      <w:pgSz w:w="12240" w:h="15840"/>
      <w:pgMar w:top="1440" w:right="1440" w:bottom="1440" w:left="1440" w:header="720" w:footer="720" w:gutter="0"/>
      <w:lnNumType w:countBy="1" w:start="1"/>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atin Modern Roman 9">
    <w:altName w:val="Calibri"/>
    <w:panose1 w:val="020B0604020202020204"/>
    <w:charset w:val="4D"/>
    <w:family w:val="auto"/>
    <w:notTrueType/>
    <w:pitch w:val="variable"/>
    <w:sig w:usb0="20000007" w:usb1="00000000" w:usb2="00000000" w:usb3="00000000" w:csb0="00000193"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2AD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D4C0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4051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B6E0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2EB0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647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383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465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62D8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0E46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AE401"/>
    <w:multiLevelType w:val="multilevel"/>
    <w:tmpl w:val="BBA07F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3A5463"/>
    <w:pPr>
      <w:keepNext/>
      <w:keepLines/>
      <w:spacing w:before="480" w:after="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BodyText"/>
    <w:uiPriority w:val="9"/>
    <w:unhideWhenUsed/>
    <w:qFormat/>
    <w:rsid w:val="003A5463"/>
    <w:pPr>
      <w:keepNext/>
      <w:keepLines/>
      <w:spacing w:before="200" w:after="0"/>
      <w:outlineLvl w:val="1"/>
    </w:pPr>
    <w:rPr>
      <w:rFonts w:ascii="Times New Roman" w:eastAsiaTheme="majorEastAsia" w:hAnsi="Times New Roman" w:cstheme="majorBidi"/>
      <w:b/>
      <w:bCs/>
      <w:color w:val="000000" w:themeColor="text1"/>
      <w:sz w:val="28"/>
      <w:szCs w:val="32"/>
    </w:rPr>
  </w:style>
  <w:style w:type="paragraph" w:styleId="Heading3">
    <w:name w:val="heading 3"/>
    <w:basedOn w:val="Normal"/>
    <w:next w:val="BodyText"/>
    <w:uiPriority w:val="9"/>
    <w:unhideWhenUsed/>
    <w:qFormat/>
    <w:rsid w:val="003A5463"/>
    <w:pPr>
      <w:keepNext/>
      <w:keepLines/>
      <w:spacing w:before="200" w:after="0"/>
      <w:outlineLvl w:val="2"/>
    </w:pPr>
    <w:rPr>
      <w:rFonts w:ascii="Times New Roman" w:eastAsiaTheme="majorEastAsia" w:hAnsi="Times New Roman" w:cstheme="majorBidi"/>
      <w:b/>
      <w:bCs/>
      <w:color w:val="000000" w:themeColor="text1"/>
      <w:sz w:val="28"/>
      <w:szCs w:val="28"/>
    </w:rPr>
  </w:style>
  <w:style w:type="paragraph" w:styleId="Heading4">
    <w:name w:val="heading 4"/>
    <w:basedOn w:val="Normal"/>
    <w:next w:val="BodyText"/>
    <w:uiPriority w:val="9"/>
    <w:unhideWhenUsed/>
    <w:qFormat/>
    <w:rsid w:val="00C46A21"/>
    <w:pPr>
      <w:keepNext/>
      <w:keepLines/>
      <w:spacing w:before="200" w:after="0"/>
      <w:outlineLvl w:val="3"/>
    </w:pPr>
    <w:rPr>
      <w:rFonts w:ascii="Times New Roman" w:eastAsiaTheme="majorEastAsia" w:hAnsi="Times New Roman" w:cstheme="majorBidi"/>
      <w:b/>
      <w:bCs/>
      <w:color w:val="000000" w:themeColor="text1"/>
    </w:rPr>
  </w:style>
  <w:style w:type="paragraph" w:styleId="Heading5">
    <w:name w:val="heading 5"/>
    <w:basedOn w:val="Normal"/>
    <w:next w:val="BodyText"/>
    <w:uiPriority w:val="9"/>
    <w:unhideWhenUsed/>
    <w:qFormat/>
    <w:rsid w:val="00C46A21"/>
    <w:pPr>
      <w:keepNext/>
      <w:keepLines/>
      <w:spacing w:before="200" w:after="0"/>
      <w:outlineLvl w:val="4"/>
    </w:pPr>
    <w:rPr>
      <w:rFonts w:ascii="Times New Roman" w:eastAsiaTheme="majorEastAsia" w:hAnsi="Times New Roman" w:cstheme="majorBidi"/>
      <w:i/>
      <w:iCs/>
      <w:color w:val="000000" w:themeColor="tex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85DCB"/>
    <w:pPr>
      <w:spacing w:before="180" w:after="0" w:line="360" w:lineRule="auto"/>
      <w:jc w:val="both"/>
    </w:pPr>
    <w:rPr>
      <w:rFonts w:ascii="Times New Roman" w:hAnsi="Times New Roman"/>
    </w:rPr>
  </w:style>
  <w:style w:type="paragraph" w:customStyle="1" w:styleId="FirstParagraph">
    <w:name w:val="First Paragraph"/>
    <w:basedOn w:val="BodyText"/>
    <w:next w:val="BodyText"/>
    <w:qFormat/>
    <w:rsid w:val="00385DCB"/>
  </w:style>
  <w:style w:type="paragraph" w:customStyle="1" w:styleId="Compact">
    <w:name w:val="Compact"/>
    <w:basedOn w:val="BodyText"/>
    <w:qFormat/>
    <w:pPr>
      <w:spacing w:before="36" w:after="36"/>
    </w:pPr>
  </w:style>
  <w:style w:type="paragraph" w:styleId="Title">
    <w:name w:val="Title"/>
    <w:basedOn w:val="Normal"/>
    <w:next w:val="BodyText"/>
    <w:qFormat/>
    <w:rsid w:val="00DE117C"/>
    <w:pPr>
      <w:keepNext/>
      <w:keepLines/>
      <w:spacing w:before="480" w:after="400"/>
      <w:jc w:val="center"/>
    </w:pPr>
    <w:rPr>
      <w:rFonts w:ascii="Times New Roman" w:eastAsiaTheme="majorEastAsia" w:hAnsi="Times New Roman" w:cstheme="majorBidi"/>
      <w:b/>
      <w:bCs/>
      <w:color w:val="000000" w:themeColor="text1"/>
      <w:sz w:val="32"/>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483CD0"/>
    <w:pPr>
      <w:keepNext/>
      <w:keepLines/>
      <w:spacing w:after="0" w:line="360" w:lineRule="auto"/>
    </w:pPr>
    <w:rPr>
      <w:rFonts w:ascii="Times New Roman" w:hAnsi="Times New Roman"/>
    </w:rPr>
  </w:style>
  <w:style w:type="paragraph" w:styleId="Date">
    <w:name w:val="Date"/>
    <w:next w:val="BodyText"/>
    <w:qFormat/>
    <w:rsid w:val="003A5463"/>
    <w:pPr>
      <w:keepNext/>
      <w:keepLines/>
      <w:jc w:val="center"/>
    </w:pPr>
    <w:rPr>
      <w:rFonts w:ascii="Times New Roman" w:hAnsi="Times New Roman"/>
    </w:rPr>
  </w:style>
  <w:style w:type="paragraph" w:customStyle="1" w:styleId="Abstract">
    <w:name w:val="Abstract"/>
    <w:basedOn w:val="Normal"/>
    <w:next w:val="BodyText"/>
    <w:qFormat/>
    <w:rsid w:val="00483CD0"/>
    <w:pPr>
      <w:keepNext/>
      <w:keepLines/>
      <w:spacing w:before="600" w:after="300" w:line="300" w:lineRule="auto"/>
      <w:jc w:val="both"/>
    </w:pPr>
    <w:rPr>
      <w:rFonts w:ascii="Times New Roman" w:hAnsi="Times New Roman"/>
      <w:szCs w:val="20"/>
    </w:rPr>
  </w:style>
  <w:style w:type="paragraph" w:styleId="Bibliography">
    <w:name w:val="Bibliography"/>
    <w:basedOn w:val="Normal"/>
    <w:qFormat/>
    <w:rsid w:val="00591424"/>
    <w:rPr>
      <w:rFonts w:ascii="Times New Roman" w:hAnsi="Times New Roman"/>
      <w:sz w:val="22"/>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3A5463"/>
    <w:rPr>
      <w:rFonts w:ascii="Times New Roman" w:hAnsi="Times New Roman"/>
    </w:rPr>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AF40D5"/>
    <w:pPr>
      <w:spacing w:after="120"/>
    </w:pPr>
    <w:rPr>
      <w:rFonts w:ascii="Times New Roman" w:hAnsi="Times New Roman"/>
      <w:i/>
    </w:rPr>
  </w:style>
  <w:style w:type="paragraph" w:customStyle="1" w:styleId="TableCaption">
    <w:name w:val="Table Caption"/>
    <w:basedOn w:val="Caption"/>
    <w:pPr>
      <w:keepNext/>
    </w:pPr>
  </w:style>
  <w:style w:type="paragraph" w:customStyle="1" w:styleId="ImageCaption">
    <w:name w:val="Image Caption"/>
    <w:basedOn w:val="Caption"/>
    <w:rsid w:val="003A0BE0"/>
    <w:pPr>
      <w:spacing w:after="240"/>
      <w:jc w:val="both"/>
    </w:pPr>
    <w:rPr>
      <w:i w:val="0"/>
      <w:sz w:val="22"/>
    </w:rPr>
  </w:style>
  <w:style w:type="paragraph" w:customStyle="1" w:styleId="Figure">
    <w:name w:val="Figure"/>
    <w:basedOn w:val="Normal"/>
    <w:rsid w:val="00073B42"/>
    <w:pPr>
      <w:jc w:val="both"/>
    </w:pPr>
    <w:rPr>
      <w:rFonts w:ascii="Latin Modern Roman 9" w:hAnsi="Latin Modern Roman 9"/>
      <w:i/>
      <w:sz w:val="22"/>
    </w:rPr>
  </w:style>
  <w:style w:type="paragraph" w:customStyle="1" w:styleId="CaptionedFigure">
    <w:name w:val="Captioned Figure"/>
    <w:basedOn w:val="Figure"/>
    <w:rsid w:val="003A0BE0"/>
    <w:pPr>
      <w:keepNext/>
      <w:spacing w:before="360" w:after="160"/>
      <w:jc w:val="center"/>
    </w:pPr>
  </w:style>
  <w:style w:type="character" w:customStyle="1" w:styleId="CaptionChar">
    <w:name w:val="Caption Char"/>
    <w:basedOn w:val="DefaultParagraphFont"/>
    <w:link w:val="Caption"/>
    <w:rsid w:val="00AF40D5"/>
    <w:rPr>
      <w:rFonts w:ascii="Times New Roman" w:hAnsi="Times New Roman"/>
      <w:i/>
    </w:rPr>
  </w:style>
  <w:style w:type="character" w:customStyle="1" w:styleId="VerbatimChar">
    <w:name w:val="Verbatim Char"/>
    <w:basedOn w:val="CaptionChar"/>
    <w:link w:val="SourceCode"/>
    <w:rPr>
      <w:rFonts w:ascii="Consolas" w:hAnsi="Consolas"/>
      <w:i/>
      <w:sz w:val="22"/>
    </w:rPr>
  </w:style>
  <w:style w:type="character" w:styleId="FootnoteReference">
    <w:name w:val="footnote reference"/>
    <w:basedOn w:val="CaptionChar"/>
    <w:rPr>
      <w:rFonts w:ascii="Times New Roman" w:hAnsi="Times New Roman"/>
      <w:i/>
      <w:vertAlign w:val="superscript"/>
    </w:rPr>
  </w:style>
  <w:style w:type="character" w:styleId="Hyperlink">
    <w:name w:val="Hyperlink"/>
    <w:basedOn w:val="CaptionChar"/>
    <w:rsid w:val="008D752F"/>
    <w:rPr>
      <w:rFonts w:ascii="Times New Roman" w:hAnsi="Times New Roman"/>
      <w:i w:val="0"/>
      <w:color w:val="17432F"/>
      <w:sz w:val="24"/>
    </w:rPr>
  </w:style>
  <w:style w:type="paragraph" w:styleId="TOCHeading">
    <w:name w:val="TOC Heading"/>
    <w:basedOn w:val="Heading1"/>
    <w:next w:val="BodyText"/>
    <w:uiPriority w:val="39"/>
    <w:unhideWhenUsed/>
    <w:qFormat/>
    <w:rsid w:val="006D5FF3"/>
    <w:pPr>
      <w:spacing w:before="240" w:line="259" w:lineRule="auto"/>
      <w:outlineLvl w:val="9"/>
    </w:pPr>
    <w:rPr>
      <w:b w:val="0"/>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i/>
      <w:color w:val="204A87"/>
      <w:sz w:val="22"/>
      <w:shd w:val="clear" w:color="auto" w:fill="F8F8F8"/>
    </w:rPr>
  </w:style>
  <w:style w:type="character" w:customStyle="1" w:styleId="DataTypeTok">
    <w:name w:val="DataTypeTok"/>
    <w:basedOn w:val="VerbatimChar"/>
    <w:rPr>
      <w:rFonts w:ascii="Consolas" w:hAnsi="Consolas"/>
      <w:i/>
      <w:color w:val="204A87"/>
      <w:sz w:val="22"/>
      <w:shd w:val="clear" w:color="auto" w:fill="F8F8F8"/>
    </w:rPr>
  </w:style>
  <w:style w:type="character" w:customStyle="1" w:styleId="DecValTok">
    <w:name w:val="DecValTok"/>
    <w:basedOn w:val="VerbatimChar"/>
    <w:rPr>
      <w:rFonts w:ascii="Consolas" w:hAnsi="Consolas"/>
      <w:i/>
      <w:color w:val="0000CF"/>
      <w:sz w:val="22"/>
      <w:shd w:val="clear" w:color="auto" w:fill="F8F8F8"/>
    </w:rPr>
  </w:style>
  <w:style w:type="character" w:customStyle="1" w:styleId="BaseNTok">
    <w:name w:val="BaseNTok"/>
    <w:basedOn w:val="VerbatimChar"/>
    <w:rPr>
      <w:rFonts w:ascii="Consolas" w:hAnsi="Consolas"/>
      <w:i/>
      <w:color w:val="0000CF"/>
      <w:sz w:val="22"/>
      <w:shd w:val="clear" w:color="auto" w:fill="F8F8F8"/>
    </w:rPr>
  </w:style>
  <w:style w:type="character" w:customStyle="1" w:styleId="FloatTok">
    <w:name w:val="FloatTok"/>
    <w:basedOn w:val="VerbatimChar"/>
    <w:rPr>
      <w:rFonts w:ascii="Consolas" w:hAnsi="Consolas"/>
      <w:i/>
      <w:color w:val="0000CF"/>
      <w:sz w:val="22"/>
      <w:shd w:val="clear" w:color="auto" w:fill="F8F8F8"/>
    </w:rPr>
  </w:style>
  <w:style w:type="character" w:customStyle="1" w:styleId="ConstantTok">
    <w:name w:val="ConstantTok"/>
    <w:basedOn w:val="VerbatimChar"/>
    <w:rPr>
      <w:rFonts w:ascii="Consolas" w:hAnsi="Consolas"/>
      <w:i/>
      <w:color w:val="000000"/>
      <w:sz w:val="22"/>
      <w:shd w:val="clear" w:color="auto" w:fill="F8F8F8"/>
    </w:rPr>
  </w:style>
  <w:style w:type="character" w:customStyle="1" w:styleId="CharTok">
    <w:name w:val="CharTok"/>
    <w:basedOn w:val="VerbatimChar"/>
    <w:rPr>
      <w:rFonts w:ascii="Consolas" w:hAnsi="Consolas"/>
      <w:i/>
      <w:color w:val="4E9A06"/>
      <w:sz w:val="22"/>
      <w:shd w:val="clear" w:color="auto" w:fill="F8F8F8"/>
    </w:rPr>
  </w:style>
  <w:style w:type="character" w:customStyle="1" w:styleId="SpecialCharTok">
    <w:name w:val="SpecialCharTok"/>
    <w:basedOn w:val="VerbatimChar"/>
    <w:rPr>
      <w:rFonts w:ascii="Consolas" w:hAnsi="Consolas"/>
      <w:i/>
      <w:color w:val="000000"/>
      <w:sz w:val="22"/>
      <w:shd w:val="clear" w:color="auto" w:fill="F8F8F8"/>
    </w:rPr>
  </w:style>
  <w:style w:type="character" w:customStyle="1" w:styleId="StringTok">
    <w:name w:val="StringTok"/>
    <w:basedOn w:val="VerbatimChar"/>
    <w:rPr>
      <w:rFonts w:ascii="Consolas" w:hAnsi="Consolas"/>
      <w:i/>
      <w:color w:val="4E9A06"/>
      <w:sz w:val="22"/>
      <w:shd w:val="clear" w:color="auto" w:fill="F8F8F8"/>
    </w:rPr>
  </w:style>
  <w:style w:type="character" w:customStyle="1" w:styleId="VerbatimStringTok">
    <w:name w:val="VerbatimStringTok"/>
    <w:basedOn w:val="VerbatimChar"/>
    <w:rPr>
      <w:rFonts w:ascii="Consolas" w:hAnsi="Consolas"/>
      <w:i/>
      <w:color w:val="4E9A06"/>
      <w:sz w:val="22"/>
      <w:shd w:val="clear" w:color="auto" w:fill="F8F8F8"/>
    </w:rPr>
  </w:style>
  <w:style w:type="character" w:customStyle="1" w:styleId="SpecialStringTok">
    <w:name w:val="SpecialStringTok"/>
    <w:basedOn w:val="VerbatimChar"/>
    <w:rPr>
      <w:rFonts w:ascii="Consolas" w:hAnsi="Consolas"/>
      <w:i/>
      <w:color w:val="4E9A06"/>
      <w:sz w:val="22"/>
      <w:shd w:val="clear" w:color="auto" w:fill="F8F8F8"/>
    </w:rPr>
  </w:style>
  <w:style w:type="character" w:customStyle="1" w:styleId="ImportTok">
    <w:name w:val="ImportTok"/>
    <w:basedOn w:val="VerbatimChar"/>
    <w:rPr>
      <w:rFonts w:ascii="Consolas" w:hAnsi="Consolas"/>
      <w:i/>
      <w:sz w:val="22"/>
      <w:shd w:val="clear" w:color="auto" w:fill="F8F8F8"/>
    </w:rPr>
  </w:style>
  <w:style w:type="character" w:customStyle="1" w:styleId="CommentTok">
    <w:name w:val="CommentTok"/>
    <w:basedOn w:val="VerbatimChar"/>
    <w:rPr>
      <w:rFonts w:ascii="Consolas" w:hAnsi="Consolas"/>
      <w:i w:val="0"/>
      <w:color w:val="8F5902"/>
      <w:sz w:val="22"/>
      <w:shd w:val="clear" w:color="auto" w:fill="F8F8F8"/>
    </w:rPr>
  </w:style>
  <w:style w:type="character" w:customStyle="1" w:styleId="DocumentationTok">
    <w:name w:val="DocumentationTok"/>
    <w:basedOn w:val="VerbatimChar"/>
    <w:rPr>
      <w:rFonts w:ascii="Consolas" w:hAnsi="Consolas"/>
      <w:b/>
      <w:i w:val="0"/>
      <w:color w:val="8F5902"/>
      <w:sz w:val="22"/>
      <w:shd w:val="clear" w:color="auto" w:fill="F8F8F8"/>
    </w:rPr>
  </w:style>
  <w:style w:type="character" w:customStyle="1" w:styleId="AnnotationTok">
    <w:name w:val="AnnotationTok"/>
    <w:basedOn w:val="VerbatimChar"/>
    <w:rPr>
      <w:rFonts w:ascii="Consolas" w:hAnsi="Consolas"/>
      <w:b/>
      <w:i w:val="0"/>
      <w:color w:val="8F5902"/>
      <w:sz w:val="22"/>
      <w:shd w:val="clear" w:color="auto" w:fill="F8F8F8"/>
    </w:rPr>
  </w:style>
  <w:style w:type="character" w:customStyle="1" w:styleId="CommentVarTok">
    <w:name w:val="CommentVarTok"/>
    <w:basedOn w:val="VerbatimChar"/>
    <w:rPr>
      <w:rFonts w:ascii="Consolas" w:hAnsi="Consolas"/>
      <w:b/>
      <w:i w:val="0"/>
      <w:color w:val="8F5902"/>
      <w:sz w:val="22"/>
      <w:shd w:val="clear" w:color="auto" w:fill="F8F8F8"/>
    </w:rPr>
  </w:style>
  <w:style w:type="character" w:customStyle="1" w:styleId="OtherTok">
    <w:name w:val="OtherTok"/>
    <w:basedOn w:val="VerbatimChar"/>
    <w:rPr>
      <w:rFonts w:ascii="Consolas" w:hAnsi="Consolas"/>
      <w:i/>
      <w:color w:val="8F5902"/>
      <w:sz w:val="22"/>
      <w:shd w:val="clear" w:color="auto" w:fill="F8F8F8"/>
    </w:rPr>
  </w:style>
  <w:style w:type="character" w:customStyle="1" w:styleId="FunctionTok">
    <w:name w:val="FunctionTok"/>
    <w:basedOn w:val="VerbatimChar"/>
    <w:rPr>
      <w:rFonts w:ascii="Consolas" w:hAnsi="Consolas"/>
      <w:i/>
      <w:color w:val="000000"/>
      <w:sz w:val="22"/>
      <w:shd w:val="clear" w:color="auto" w:fill="F8F8F8"/>
    </w:rPr>
  </w:style>
  <w:style w:type="character" w:customStyle="1" w:styleId="VariableTok">
    <w:name w:val="VariableTok"/>
    <w:basedOn w:val="VerbatimChar"/>
    <w:rPr>
      <w:rFonts w:ascii="Consolas" w:hAnsi="Consolas"/>
      <w:i/>
      <w:color w:val="000000"/>
      <w:sz w:val="22"/>
      <w:shd w:val="clear" w:color="auto" w:fill="F8F8F8"/>
    </w:rPr>
  </w:style>
  <w:style w:type="character" w:customStyle="1" w:styleId="ControlFlowTok">
    <w:name w:val="ControlFlowTok"/>
    <w:basedOn w:val="VerbatimChar"/>
    <w:rPr>
      <w:rFonts w:ascii="Consolas" w:hAnsi="Consolas"/>
      <w:b/>
      <w:i/>
      <w:color w:val="204A87"/>
      <w:sz w:val="22"/>
      <w:shd w:val="clear" w:color="auto" w:fill="F8F8F8"/>
    </w:rPr>
  </w:style>
  <w:style w:type="character" w:customStyle="1" w:styleId="OperatorTok">
    <w:name w:val="OperatorTok"/>
    <w:basedOn w:val="VerbatimChar"/>
    <w:rPr>
      <w:rFonts w:ascii="Consolas" w:hAnsi="Consolas"/>
      <w:b/>
      <w:i/>
      <w:color w:val="CE5C00"/>
      <w:sz w:val="22"/>
      <w:shd w:val="clear" w:color="auto" w:fill="F8F8F8"/>
    </w:rPr>
  </w:style>
  <w:style w:type="character" w:customStyle="1" w:styleId="BuiltInTok">
    <w:name w:val="BuiltInTok"/>
    <w:basedOn w:val="VerbatimChar"/>
    <w:rPr>
      <w:rFonts w:ascii="Consolas" w:hAnsi="Consolas"/>
      <w:i/>
      <w:sz w:val="22"/>
      <w:shd w:val="clear" w:color="auto" w:fill="F8F8F8"/>
    </w:rPr>
  </w:style>
  <w:style w:type="character" w:customStyle="1" w:styleId="ExtensionTok">
    <w:name w:val="ExtensionTok"/>
    <w:basedOn w:val="VerbatimChar"/>
    <w:rPr>
      <w:rFonts w:ascii="Consolas" w:hAnsi="Consolas"/>
      <w:i/>
      <w:sz w:val="22"/>
      <w:shd w:val="clear" w:color="auto" w:fill="F8F8F8"/>
    </w:rPr>
  </w:style>
  <w:style w:type="character" w:customStyle="1" w:styleId="PreprocessorTok">
    <w:name w:val="PreprocessorTok"/>
    <w:basedOn w:val="VerbatimChar"/>
    <w:rPr>
      <w:rFonts w:ascii="Consolas" w:hAnsi="Consolas"/>
      <w:i w:val="0"/>
      <w:color w:val="8F5902"/>
      <w:sz w:val="22"/>
      <w:shd w:val="clear" w:color="auto" w:fill="F8F8F8"/>
    </w:rPr>
  </w:style>
  <w:style w:type="character" w:customStyle="1" w:styleId="AttributeTok">
    <w:name w:val="AttributeTok"/>
    <w:basedOn w:val="VerbatimChar"/>
    <w:rPr>
      <w:rFonts w:ascii="Consolas" w:hAnsi="Consolas"/>
      <w:i/>
      <w:color w:val="C4A000"/>
      <w:sz w:val="22"/>
      <w:shd w:val="clear" w:color="auto" w:fill="F8F8F8"/>
    </w:rPr>
  </w:style>
  <w:style w:type="character" w:customStyle="1" w:styleId="RegionMarkerTok">
    <w:name w:val="RegionMarkerTok"/>
    <w:basedOn w:val="VerbatimChar"/>
    <w:rPr>
      <w:rFonts w:ascii="Consolas" w:hAnsi="Consolas"/>
      <w:i/>
      <w:sz w:val="22"/>
      <w:shd w:val="clear" w:color="auto" w:fill="F8F8F8"/>
    </w:rPr>
  </w:style>
  <w:style w:type="character" w:customStyle="1" w:styleId="InformationTok">
    <w:name w:val="InformationTok"/>
    <w:basedOn w:val="VerbatimChar"/>
    <w:rPr>
      <w:rFonts w:ascii="Consolas" w:hAnsi="Consolas"/>
      <w:b/>
      <w:i w:val="0"/>
      <w:color w:val="8F5902"/>
      <w:sz w:val="22"/>
      <w:shd w:val="clear" w:color="auto" w:fill="F8F8F8"/>
    </w:rPr>
  </w:style>
  <w:style w:type="character" w:customStyle="1" w:styleId="WarningTok">
    <w:name w:val="WarningTok"/>
    <w:basedOn w:val="VerbatimChar"/>
    <w:rPr>
      <w:rFonts w:ascii="Consolas" w:hAnsi="Consolas"/>
      <w:b/>
      <w:i w:val="0"/>
      <w:color w:val="8F5902"/>
      <w:sz w:val="22"/>
      <w:shd w:val="clear" w:color="auto" w:fill="F8F8F8"/>
    </w:rPr>
  </w:style>
  <w:style w:type="character" w:customStyle="1" w:styleId="AlertTok">
    <w:name w:val="AlertTok"/>
    <w:basedOn w:val="VerbatimChar"/>
    <w:rPr>
      <w:rFonts w:ascii="Consolas" w:hAnsi="Consolas"/>
      <w:i/>
      <w:color w:val="EF2929"/>
      <w:sz w:val="22"/>
      <w:shd w:val="clear" w:color="auto" w:fill="F8F8F8"/>
    </w:rPr>
  </w:style>
  <w:style w:type="character" w:customStyle="1" w:styleId="ErrorTok">
    <w:name w:val="ErrorTok"/>
    <w:basedOn w:val="VerbatimChar"/>
    <w:rPr>
      <w:rFonts w:ascii="Consolas" w:hAnsi="Consolas"/>
      <w:b/>
      <w:i/>
      <w:color w:val="A40000"/>
      <w:sz w:val="22"/>
      <w:shd w:val="clear" w:color="auto" w:fill="F8F8F8"/>
    </w:rPr>
  </w:style>
  <w:style w:type="character" w:customStyle="1" w:styleId="NormalTok">
    <w:name w:val="NormalTok"/>
    <w:basedOn w:val="VerbatimChar"/>
    <w:rPr>
      <w:rFonts w:ascii="Consolas" w:hAnsi="Consolas"/>
      <w:i/>
      <w:sz w:val="22"/>
      <w:shd w:val="clear" w:color="auto" w:fill="F8F8F8"/>
    </w:rPr>
  </w:style>
  <w:style w:type="character" w:styleId="LineNumber">
    <w:name w:val="line number"/>
    <w:basedOn w:val="DefaultParagraphFont"/>
    <w:semiHidden/>
    <w:unhideWhenUsed/>
    <w:rsid w:val="00CC5676"/>
    <w:rPr>
      <w:rFonts w:ascii="Latin Modern Roman 9" w:hAnsi="Latin Modern Roman 9"/>
      <w:sz w:val="14"/>
    </w:rPr>
  </w:style>
  <w:style w:type="character" w:styleId="FollowedHyperlink">
    <w:name w:val="FollowedHyperlink"/>
    <w:basedOn w:val="DefaultParagraphFont"/>
    <w:semiHidden/>
    <w:unhideWhenUsed/>
    <w:rsid w:val="009E5798"/>
    <w:rPr>
      <w:color w:val="800080" w:themeColor="followedHyperlink"/>
      <w:u w:val="single"/>
    </w:rPr>
  </w:style>
  <w:style w:type="character" w:customStyle="1" w:styleId="BodyTextChar">
    <w:name w:val="Body Text Char"/>
    <w:basedOn w:val="DefaultParagraphFont"/>
    <w:link w:val="BodyText"/>
    <w:rsid w:val="00385DCB"/>
    <w:rPr>
      <w:rFonts w:ascii="Times New Roman" w:hAnsi="Times New Roman"/>
    </w:rPr>
  </w:style>
  <w:style w:type="table" w:customStyle="1" w:styleId="Table1">
    <w:name w:val="Table1"/>
    <w:semiHidden/>
    <w:unhideWhenUsed/>
    <w:qFormat/>
    <w:rsid w:val="00DC29E0"/>
    <w:tblPr>
      <w:tblInd w:w="0" w:type="dxa"/>
      <w:tblCellMar>
        <w:top w:w="0" w:type="dxa"/>
        <w:left w:w="108" w:type="dxa"/>
        <w:bottom w:w="0" w:type="dxa"/>
        <w:right w:w="108" w:type="dxa"/>
      </w:tblCellMar>
    </w:tblPr>
  </w:style>
  <w:style w:type="paragraph" w:customStyle="1" w:styleId="table0">
    <w:name w:val="table"/>
    <w:basedOn w:val="Normal"/>
    <w:qFormat/>
    <w:rsid w:val="00DC29E0"/>
    <w:pPr>
      <w:keepNext/>
      <w:spacing w:after="120"/>
    </w:pPr>
    <w:rPr>
      <w:i/>
    </w:rPr>
  </w:style>
  <w:style w:type="character" w:styleId="IntenseEmphasis">
    <w:name w:val="Intense Emphasis"/>
    <w:basedOn w:val="DefaultParagraphFont"/>
    <w:rsid w:val="00CC5676"/>
    <w:rPr>
      <w:i w:val="0"/>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 Target="media/rId42.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hyperlink" Id="rId27" Target="https://github.com/willvieira/forest-IPM/tree/master/simulations/lambda_plot" TargetMode="External" /><Relationship Type="http://schemas.openxmlformats.org/officeDocument/2006/relationships/hyperlink" Id="rId28" Target="https://github.com/willvieira/forest-IPM/tree/master/simulations/model_lambdaPlot/" TargetMode="External" /><Relationship Type="http://schemas.openxmlformats.org/officeDocument/2006/relationships/hyperlink" Id="rId21" Target="https://github.com/willvieira/ms_forest-suitable-probability" TargetMode="External" /><Relationship Type="http://schemas.openxmlformats.org/officeDocument/2006/relationships/hyperlink" Id="rId20" Target="https://willvieira.github.io/willvieira/suppInfo.pdf" TargetMode="External" /></Relationships>
</file>

<file path=word/_rels/footnotes.xml.rels><?xml version="1.0" encoding="UTF-8"?>
<Relationships xmlns="http://schemas.openxmlformats.org/package/2006/relationships"><Relationship Type="http://schemas.openxmlformats.org/officeDocument/2006/relationships/hyperlink" Id="rId27" Target="https://github.com/willvieira/forest-IPM/tree/master/simulations/lambda_plot" TargetMode="External" /><Relationship Type="http://schemas.openxmlformats.org/officeDocument/2006/relationships/hyperlink" Id="rId28" Target="https://github.com/willvieira/forest-IPM/tree/master/simulations/model_lambdaPlot/" TargetMode="External" /><Relationship Type="http://schemas.openxmlformats.org/officeDocument/2006/relationships/hyperlink" Id="rId21" Target="https://github.com/willvieira/ms_forest-suitable-probability" TargetMode="External" /><Relationship Type="http://schemas.openxmlformats.org/officeDocument/2006/relationships/hyperlink" Id="rId20" Target="https://willvieira.github.io/willvieira/suppInfo.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Forest Management Affect Colonization Credit, but not Extinction Debt, to Reduce Delayed Range Shifts under Climate Change</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Unifying individual and metapopulation scales with stochastic population models: the effect of climate and competition on tree range limits</dc:title>
  <dc:creator>Willian Vieira1,*, Dominique Gravel1  1 Département de biologie, Université de Sherbrooke, Sherbrooke, Québec, Canada * corresponding author: willian.vieira@usherbrooke.ca</dc:creator>
  <cp:keywords/>
  <dcterms:created xsi:type="dcterms:W3CDTF">2024-06-21T04:22:09Z</dcterms:created>
  <dcterms:modified xsi:type="dcterms:W3CDTF">2024-06-21T04:22:09Z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Despite recent calls to use demographic range models to scale the effect of individual dynamics in setting range limits, there is a growing body of evidence showing that tree species’ performance is not correlated with their distribution. In this study, we ask whether the challenge in predicting species distribution from demographic rates stems from overlooking the inherent variability of forest systems and the underlying uncertainty of forest models. We use a stochastic Integral Projection Model to predict species-level intrinsic population growth for 31 eastern North American tree species. We introduce a novel metric for species-level performance we coined local suitable probability, which captures observed spatiotemporal stochasticity in climate and competition while accommodating model uncertainty. Our focus is on investigating how suitable probability changes across the cold-to-hot species range distribution over the mean annual temperature gradient. Our findings reveal a consistent, nearly linear decline in suitable probability from the cold to hot borders across the species. This change in suitable probability towards the orders is primarily driven by climate rather than competition. These results, supported by a novel approach accounting for uncertainty, enhance our understanding of the nuanced interplay between climate and competition across species ranges. We conclude by proposing a novel theory that uses the local suitable probability to establish a link between individual demographic rates and metapopulation dynamics.</vt:lpwstr>
  </property>
</Properties>
</file>